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/>
        <w:spacing w:line="585" w:lineRule="atLeast"/>
        <w:jc w:val="center"/>
        <w:rPr>
          <w:rFonts w:ascii="黑体" w:hAnsi="黑体" w:eastAsia="黑体" w:cs="Arial"/>
          <w:sz w:val="44"/>
          <w:szCs w:val="44"/>
          <w:highlight w:val="none"/>
        </w:rPr>
      </w:pPr>
      <w:r>
        <w:rPr>
          <w:rFonts w:hint="eastAsia" w:ascii="黑体" w:hAnsi="黑体" w:eastAsia="黑体" w:cs="Arial"/>
          <w:sz w:val="44"/>
          <w:szCs w:val="44"/>
          <w:highlight w:val="none"/>
        </w:rPr>
        <w:t>关于高新区202</w:t>
      </w:r>
      <w:r>
        <w:rPr>
          <w:rFonts w:hint="eastAsia" w:ascii="黑体" w:hAnsi="黑体" w:eastAsia="黑体" w:cs="Arial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黑体" w:hAnsi="黑体" w:eastAsia="黑体" w:cs="Arial"/>
          <w:sz w:val="44"/>
          <w:szCs w:val="44"/>
          <w:highlight w:val="none"/>
        </w:rPr>
        <w:t>年财政预算执行情况</w:t>
      </w:r>
    </w:p>
    <w:p>
      <w:pPr>
        <w:pStyle w:val="7"/>
        <w:widowControl w:val="0"/>
        <w:shd w:val="clear" w:color="auto"/>
        <w:autoSpaceDE w:val="0"/>
        <w:spacing w:line="580" w:lineRule="exact"/>
        <w:jc w:val="center"/>
        <w:rPr>
          <w:rFonts w:hint="eastAsia" w:ascii="黑体" w:hAnsi="黑体" w:eastAsia="黑体" w:cs="Arial"/>
          <w:sz w:val="44"/>
          <w:szCs w:val="44"/>
          <w:highlight w:val="none"/>
        </w:rPr>
      </w:pPr>
      <w:r>
        <w:rPr>
          <w:rFonts w:hint="eastAsia" w:ascii="黑体" w:hAnsi="黑体" w:eastAsia="黑体" w:cs="Arial"/>
          <w:sz w:val="44"/>
          <w:szCs w:val="44"/>
          <w:highlight w:val="none"/>
        </w:rPr>
        <w:t>和202</w:t>
      </w:r>
      <w:r>
        <w:rPr>
          <w:rFonts w:hint="eastAsia" w:ascii="黑体" w:hAnsi="黑体" w:eastAsia="黑体" w:cs="Arial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黑体" w:eastAsia="黑体" w:cs="Arial"/>
          <w:sz w:val="44"/>
          <w:szCs w:val="44"/>
          <w:highlight w:val="none"/>
        </w:rPr>
        <w:t>年财政预算(草案)的报告</w:t>
      </w:r>
    </w:p>
    <w:p>
      <w:pPr>
        <w:shd w:val="clear"/>
        <w:spacing w:line="560" w:lineRule="exact"/>
        <w:outlineLvl w:val="0"/>
        <w:rPr>
          <w:rFonts w:hint="eastAsia" w:ascii="黑体" w:hAnsi="黑体" w:eastAsia="黑体"/>
          <w:color w:val="000000"/>
          <w:sz w:val="36"/>
          <w:szCs w:val="36"/>
          <w:highlight w:val="none"/>
        </w:rPr>
      </w:pP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Fonts w:ascii="微软雅黑" w:hAnsi="微软雅黑" w:eastAsia="微软雅黑"/>
          <w:sz w:val="21"/>
          <w:szCs w:val="21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年财政预算执行情况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 年，面对复杂严峻的形势和繁重的任务，在市委的正确领导和市人大、市政协的监督指导下，高新区管委会团结带领全区人民，以习近平新时代中国特色社会主义思想为指导，围绕迎接和贯彻党的二十大这条主线，深入贯彻习近平总书记视察河南重要讲话重要指示，认真落实中央和省委、市委决策部署，坚持“紧日子保基本、调结构保战略”，高效统筹疫情防控和经济社会发展，持续做好“六稳”“六保”工作，经济发展呈现稳定向好、稳中提质的良好态势。在此基础上，财政预算执行情况总体较好，圆满完成了市十一届人大六次会议确定的任务。</w:t>
      </w:r>
    </w:p>
    <w:bookmarkEnd w:id="0"/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Fonts w:ascii="楷体" w:hAnsi="楷体" w:eastAsia="楷体"/>
          <w:sz w:val="21"/>
          <w:szCs w:val="21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（一）一般公共预算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经市十一届人大六次会议批准，2022年高新区一般公共预算收入年初预算为45915万元，预计全年完成45959万元，为预算的100.1%，比上年增长11.1%。其中：税收收入34627万元，为预算的82.6%，比上年下降3.7%，占一般公共预算收入的比重为75.3%；非税收入11332万元，为预算的283.3%，比上年增长208.8%。主要项目执行情况是：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增值税13293万元，为预算的63.6%，减少3701万元，下降21.8%。主要原因是增值税留抵退税等因素导致减收。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企业所得税8193万元，为预算的180.9%，增加4654万元，增长131.5%。主要原因是神马尼龙公司等企业所得税同比增加较多。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城市维护建设税等13141万元，为预算的79.7%，减少2265万元，下降14.7%。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专项收入等非税收入11332万元，为预算的283.3%，增加5906万元，增长108.8%。主要原因是国有资源（资产）有偿使用收入增加较多。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十一届人大六次会议批准的2022年高新区一般公共预算支出年初预算为36897万元（含线下债务还本支出2445万元），执行中因上级补助增加、结余结转等安排的支出，预计全年支出预算调整为38257万元，预计全年支出37627万元，为调整预算的98.4%，增长10.6%。主要项目执行情况是：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一般公共服务支出11071万元，为预算的100%，增加2591万元，增长30.6%。主要是其他一般公共服务支出增加。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公共安全支出586万元，为预算的100%，减少118万元，下降16.8%。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教育支出5865万元，为预算的100%，增加1162万元，增长24.7%。主要是校舍改造等学校建设投入增加较多。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科学技术支出1675万元，为预算的76.3%，减少775万元，下降23.7%。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文化体育与传媒支出43万元，为预算的100%，增加43万元。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社会保障和就业支出6276万元，为预算的100%，增加520万元，增长9%。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卫生健康支出1932万元，为预算的100%，减少60万元，下降3%。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节能环保支出1097万元，为预算的100%，减少662万元，下降37.6%。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城乡社区支出3751万元，为预算的100%，增加837万元，增长28.7%。主要是城乡公共设施支出增加较多。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农林水支出1781万元，为预算的100%，减少523万元，下降22.7%。主要是高标准农田建设支出减少较多。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交通运输支出35万元，为预算的100%，减少358万元，下降91.1%。主要是公路水路运输支出减少较多。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资源勘探信息等支出106万元，为预算的49.1%，减少589万元，下降84.7%。主要是支持中小企业发展和管理支出减少较多。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商业服务业等支出455万元，为预算的100%，增加237万元，增长108.7%。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住房保障支出1655万元，为预算的100%，增加998万元，增长151.9%。主要是棚户区改造支出增加较多。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灾害防治及应急管理支出273万元，为预算的100%，减少26万元，下降8.7%。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其他支出491万元，为预算的100%，增加460万元，增长1483.9%。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债务付息支出535万元，为预算的100%，减少119万元，下降18.2%。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汇总以上科目，教育、社会保障和就业、卫生健康、文化体育与传媒、农林水、交通运输、节能环保、住房保障、城乡社区等民生支出合计22435万元，占一般公共预算支出的比重达到60%。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（二）政府性基金预算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按照市与区新财政体制,政府性基金预算已并入市级基金预算,区本级仅安排上级提前下达补助资金82万元。执行中上级补助政府性基金预算收入4650万元，结余结转收入34072万元，收入总计预计为38804万元。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政府性支出预算</w:t>
      </w:r>
      <w:r>
        <w:rPr>
          <w:rFonts w:hint="eastAsia" w:ascii="仿宋_GB2312" w:eastAsia="仿宋_GB2312"/>
          <w:sz w:val="32"/>
          <w:szCs w:val="32"/>
          <w:highlight w:val="none"/>
        </w:rPr>
        <w:t>执行中加上上级追加等安排支出，支出预算调整为33025万元。预计完成30756万元，为调整预算的93.1%，比上年增加25238万元，增长457.4%。主要项目执行情况是：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社会保障和就业支出43万元，为预算的68.3%，减少54万元，下降55.7%。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彩票公益金安排的支出70万元，为预算的100%，增加20万元，增长40.0%。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城乡社区安排的支出26367万元，为预算的92.1%，增加25887万元，增长5393.1%。主要原因是国有土地使用权出让收入安排的支出增加较多。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债务付息支出4276万元。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（三）国有资本经营预算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2022年，高新区国有资本经营年初未安排收支预算，执行中因上级补助增加、结余结转等安排的支出，支出预算调整为69万元。预计实际完成0万元。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（四）社会保险基金预算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2022年，高新区</w:t>
      </w:r>
      <w:r>
        <w:rPr>
          <w:rFonts w:hint="eastAsia" w:ascii="仿宋_GB2312" w:eastAsia="仿宋_GB2312"/>
          <w:sz w:val="32"/>
          <w:szCs w:val="32"/>
          <w:highlight w:val="none"/>
          <w:lang w:val="zh-CN" w:eastAsia="zh-CN"/>
        </w:rPr>
        <w:t>社会保险基金预算收入年初预算1606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  <w:highlight w:val="none"/>
          <w:lang w:val="zh-CN" w:eastAsia="zh-CN"/>
        </w:rPr>
        <w:t>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支出预算1054万元。2022年完成收入1562万元,为预算的97%；完成支出1054万元，为支出预算的101%；年末收支结余507万元，滚存结余4240元。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（五）政府债务情况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2022年，上级核定我区政府债务限额166306万元，其中：一般债务限额19637万元，专项债务限额146669万元。上级转贷高新区政府债券2400万元，其中：一般债券2400万元。政府债券还本额3338万元，其中：一般债券还本额2445万元，专项债券还本额893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上述财政收支和政府债务数据为快报数，在完成决算审查汇总以及与省财政结算后还会有一些变动，决算结果届时再报市人大常委会审议批准。</w:t>
      </w:r>
    </w:p>
    <w:p>
      <w:pPr>
        <w:pStyle w:val="7"/>
        <w:shd w:val="clear" w:color="auto"/>
        <w:spacing w:line="585" w:lineRule="atLeast"/>
        <w:ind w:firstLine="645"/>
        <w:rPr>
          <w:rFonts w:ascii="微软雅黑" w:hAnsi="微软雅黑" w:eastAsia="微软雅黑"/>
          <w:sz w:val="21"/>
          <w:szCs w:val="21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二、2022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年预算草案情况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年预算编制指导思想是：以习近平新时代中国特色社会主义思想为指导，全面贯彻党的十九大和十九届历次全会精神，深入贯彻习近平总书记视察河南重要讲话重要指示，认真落 实市第十次党代会和市委经济工作会议部署，坚持稳中求进总基调，统筹疫情防控和经济社会发展，继续做好“六稳”“六保”工作。按照“紧日子保基本、调结构保战略”原则，进一步勤俭节约，坚持过紧日子，扎实落实积极的财政政策要提升效能，更加注重精准、可持续，加强财政资源统筹，集中财力办大事；进一步深化预算管理制度改革，防范化解地方政府债务风险，加强财政可持续风险防控，锐意进取、求实奋进，为高新区经济社会持续健康发展提供坚实财力保障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年高新区一般公共预算收入预期增长目标为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1%。这一增幅充分考虑了经济发展和减税降费因素，是积极稳妥的。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（一）一般公共预算情况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年高新区一般公共预算收入总计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48164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万元，其中：区本级收入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50095</w:t>
      </w:r>
      <w:r>
        <w:rPr>
          <w:rFonts w:hint="eastAsia" w:ascii="仿宋_GB2312" w:eastAsia="仿宋_GB2312"/>
          <w:sz w:val="32"/>
          <w:szCs w:val="32"/>
          <w:highlight w:val="none"/>
        </w:rPr>
        <w:t>万元；上级补助收入-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2561</w:t>
      </w:r>
      <w:r>
        <w:rPr>
          <w:rFonts w:hint="eastAsia" w:ascii="仿宋_GB2312" w:eastAsia="仿宋_GB2312"/>
          <w:sz w:val="32"/>
          <w:szCs w:val="32"/>
          <w:highlight w:val="none"/>
        </w:rPr>
        <w:t>万元（返还性收入-3925万元，一般性转移支付收入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1364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万元，专项转移支付收入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万元）；上年结余收入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630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区本级一般公共预算收入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50095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_GB2312" w:eastAsia="仿宋_GB2312"/>
          <w:sz w:val="32"/>
          <w:szCs w:val="32"/>
          <w:highlight w:val="none"/>
        </w:rPr>
        <w:t>%。其中：税收收入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45095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万元，可比增长30.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%；非税收入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000万元，可比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减少55.9</w:t>
      </w:r>
      <w:r>
        <w:rPr>
          <w:rFonts w:hint="eastAsia" w:ascii="仿宋_GB2312" w:eastAsia="仿宋_GB2312"/>
          <w:sz w:val="32"/>
          <w:szCs w:val="32"/>
          <w:highlight w:val="none"/>
        </w:rPr>
        <w:t>%。主要项目情况是：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增值税收入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19831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企业所得税收入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 个人所得税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750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4.城市维护建设税等收入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16514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5.专项收入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6.行政事业性收费收入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7.罚没等其他收入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年高新区一般公共预算支出总计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48164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万元，其中：区本级支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38134</w:t>
      </w:r>
      <w:r>
        <w:rPr>
          <w:rFonts w:hint="eastAsia" w:ascii="仿宋_GB2312" w:eastAsia="仿宋_GB2312"/>
          <w:sz w:val="32"/>
          <w:szCs w:val="32"/>
          <w:highlight w:val="none"/>
        </w:rPr>
        <w:t>万元（含线下债务还本支出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2837</w:t>
      </w:r>
      <w:r>
        <w:rPr>
          <w:rFonts w:hint="eastAsia" w:ascii="仿宋_GB2312" w:eastAsia="仿宋_GB2312"/>
          <w:sz w:val="32"/>
          <w:szCs w:val="32"/>
          <w:highlight w:val="none"/>
        </w:rPr>
        <w:t>万元），上解上级支出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10030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体制上解支出425万元，专项上解支出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9605</w:t>
      </w:r>
      <w:r>
        <w:rPr>
          <w:rFonts w:hint="eastAsia" w:ascii="仿宋_GB2312" w:eastAsia="仿宋_GB2312"/>
          <w:sz w:val="32"/>
          <w:szCs w:val="32"/>
          <w:highlight w:val="none"/>
        </w:rPr>
        <w:t>万元）。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区本级一般公共预算支出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38134</w:t>
      </w:r>
      <w:r>
        <w:rPr>
          <w:rFonts w:hint="eastAsia" w:ascii="仿宋_GB2312" w:eastAsia="仿宋_GB2312"/>
          <w:sz w:val="32"/>
          <w:szCs w:val="32"/>
          <w:highlight w:val="none"/>
        </w:rPr>
        <w:t>万元（含线下债务还本支出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2837</w:t>
      </w:r>
      <w:r>
        <w:rPr>
          <w:rFonts w:hint="eastAsia" w:ascii="仿宋_GB2312" w:eastAsia="仿宋_GB2312"/>
          <w:sz w:val="32"/>
          <w:szCs w:val="32"/>
          <w:highlight w:val="none"/>
        </w:rPr>
        <w:t>万元），可比增长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eastAsia="仿宋_GB2312"/>
          <w:sz w:val="32"/>
          <w:szCs w:val="32"/>
          <w:highlight w:val="none"/>
        </w:rPr>
        <w:t>%。其中，人员和公用经费等基本支出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19629</w:t>
      </w:r>
      <w:r>
        <w:rPr>
          <w:rFonts w:hint="eastAsia" w:asci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  <w:highlight w:val="none"/>
        </w:rPr>
        <w:t>.5%；项目支出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18505</w:t>
      </w:r>
      <w:r>
        <w:rPr>
          <w:rFonts w:hint="eastAsia" w:asci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48.5</w:t>
      </w:r>
      <w:r>
        <w:rPr>
          <w:rFonts w:hint="eastAsia" w:ascii="仿宋_GB2312" w:eastAsia="仿宋_GB2312"/>
          <w:sz w:val="32"/>
          <w:szCs w:val="32"/>
          <w:highlight w:val="none"/>
        </w:rPr>
        <w:t>%。财政拨款安排的主要支出项目情况是：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一般公共服务支出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12590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19.9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教育支出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5720</w:t>
      </w:r>
      <w:r>
        <w:rPr>
          <w:rFonts w:hint="eastAsia" w:ascii="仿宋_GB2312" w:eastAsia="仿宋_GB2312"/>
          <w:sz w:val="32"/>
          <w:szCs w:val="32"/>
          <w:highlight w:val="none"/>
        </w:rPr>
        <w:t>万元，可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比增加11.5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科学技术支出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1404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增加56.3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5507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卫生健康支出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增加9.9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节能环保支出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1483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增加121.3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城乡社区支出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801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53.2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  <w:highlight w:val="none"/>
        </w:rPr>
        <w:t>农林水支出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503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10.7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  <w:highlight w:val="none"/>
        </w:rPr>
        <w:t>资源勘探工业信息等支出1000万元，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商业服务业等支出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529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38.5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住房保障支出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963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20.7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灾害防治及应急管理支出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预备费1000万元，与上年持平。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债务还本支出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2837</w:t>
      </w:r>
      <w:r>
        <w:rPr>
          <w:rFonts w:hint="eastAsia" w:ascii="仿宋_GB2312" w:eastAsia="仿宋_GB2312"/>
          <w:sz w:val="32"/>
          <w:szCs w:val="32"/>
          <w:highlight w:val="none"/>
        </w:rPr>
        <w:t>万元（线下支出），可比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增加16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  <w:highlight w:val="none"/>
        </w:rPr>
        <w:t>债务付息支出6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highlight w:val="none"/>
        </w:rPr>
        <w:t>其他支出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highlight w:val="none"/>
        </w:rPr>
        <w:t>万元，可比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减少56.6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%。 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（二）政府性基金预算情况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年政府性基金预算,按市对区新财政体制,已并入市级基金预算,区本级仅安排上级提前下达预算。2022年高新区政府性基金收入预算总计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2269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万元，其中：上年结余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  <w:highlight w:val="none"/>
        </w:rPr>
        <w:t>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2269</w:t>
      </w:r>
      <w:r>
        <w:rPr>
          <w:rFonts w:hint="eastAsia" w:ascii="仿宋_GB2312" w:eastAsia="仿宋_GB2312"/>
          <w:sz w:val="32"/>
          <w:szCs w:val="32"/>
          <w:highlight w:val="none"/>
        </w:rPr>
        <w:t>万元；政府性基金支出预算总计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2269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万元，其中：上年结余收入安排支出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2269</w:t>
      </w:r>
      <w:r>
        <w:rPr>
          <w:rFonts w:hint="eastAsia" w:ascii="仿宋_GB2312" w:eastAsia="仿宋_GB2312"/>
          <w:sz w:val="32"/>
          <w:szCs w:val="32"/>
          <w:highlight w:val="none"/>
        </w:rPr>
        <w:t>万元。主要支出项目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</w:rPr>
        <w:t>国有土地使用权出让收入安排的支出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2269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hd w:val="clear"/>
        <w:snapToGrid w:val="0"/>
        <w:spacing w:line="560" w:lineRule="exact"/>
        <w:ind w:firstLine="643" w:firstLineChars="200"/>
        <w:jc w:val="left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（三）国有资本经营预算情况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年高新区无国有资本经营预算收入预算。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5"/>
        <w:jc w:val="both"/>
        <w:rPr>
          <w:rStyle w:val="21"/>
          <w:rFonts w:ascii="楷体" w:hAnsi="楷体" w:eastAsia="楷体"/>
          <w:sz w:val="32"/>
          <w:szCs w:val="32"/>
          <w:highlight w:val="none"/>
        </w:rPr>
      </w:pPr>
      <w:r>
        <w:rPr>
          <w:rStyle w:val="21"/>
          <w:rFonts w:hint="eastAsia" w:ascii="楷体" w:hAnsi="楷体" w:eastAsia="楷体"/>
          <w:sz w:val="32"/>
          <w:szCs w:val="32"/>
          <w:highlight w:val="none"/>
        </w:rPr>
        <w:t>（四）社会保险基金预算情况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2023年，区级社会保险基金预算编制范围仅包括城乡居民基本养老保险基金。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2023年区级社会保险基金预算收入1690万元，各项保险基金收入情况是：城乡居民基本养老保险基金收入1690万元，其中个人缴费收入415万元。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2022年区本级社会保险基金支出1086万元,各项保险基金支出情况是：城乡居民基本养老保险基金支出1086万元，其中基础养老金支出985万元。</w:t>
      </w:r>
    </w:p>
    <w:p>
      <w:pPr>
        <w:pStyle w:val="7"/>
        <w:shd w:val="clear" w:color="auto"/>
        <w:spacing w:line="585" w:lineRule="atLeast"/>
        <w:ind w:firstLine="645"/>
        <w:rPr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三、财政扶贫资金公开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年，高新区无财政扶贫资金。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0" w:firstLineChars="200"/>
        <w:jc w:val="both"/>
        <w:rPr>
          <w:rFonts w:ascii="黑体" w:hAnsi="黑体" w:eastAsia="黑体" w:cs="Arial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highlight w:val="none"/>
        </w:rPr>
        <w:t>四、重大政策和重点项目说明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年，我区无重大政策调整。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年，我区重点项目包括以下几方面：教育支出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5720</w:t>
      </w:r>
      <w:r>
        <w:rPr>
          <w:rFonts w:hint="eastAsia" w:ascii="仿宋_GB2312" w:eastAsia="仿宋_GB2312"/>
          <w:sz w:val="32"/>
          <w:szCs w:val="32"/>
          <w:highlight w:val="none"/>
        </w:rPr>
        <w:t>万元，科学技术支出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1404</w:t>
      </w:r>
      <w:r>
        <w:rPr>
          <w:rFonts w:hint="eastAsia" w:ascii="仿宋_GB2312" w:eastAsia="仿宋_GB2312"/>
          <w:sz w:val="32"/>
          <w:szCs w:val="32"/>
          <w:highlight w:val="none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5507</w:t>
      </w:r>
      <w:r>
        <w:rPr>
          <w:rFonts w:hint="eastAsia" w:ascii="仿宋_GB2312" w:eastAsia="仿宋_GB2312"/>
          <w:sz w:val="32"/>
          <w:szCs w:val="32"/>
          <w:highlight w:val="none"/>
        </w:rPr>
        <w:t>万元，卫生健康支出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highlight w:val="none"/>
        </w:rPr>
        <w:t>万元，节能环保支出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1483</w:t>
      </w:r>
      <w:r>
        <w:rPr>
          <w:rFonts w:hint="eastAsia" w:ascii="仿宋_GB2312" w:eastAsia="仿宋_GB2312"/>
          <w:sz w:val="32"/>
          <w:szCs w:val="32"/>
          <w:highlight w:val="none"/>
        </w:rPr>
        <w:t>万元，城乡社区支出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801</w:t>
      </w:r>
      <w:r>
        <w:rPr>
          <w:rFonts w:hint="eastAsia" w:ascii="仿宋_GB2312" w:eastAsia="仿宋_GB2312"/>
          <w:sz w:val="32"/>
          <w:szCs w:val="32"/>
          <w:highlight w:val="none"/>
        </w:rPr>
        <w:t>万元，农林水支出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503</w:t>
      </w:r>
      <w:r>
        <w:rPr>
          <w:rFonts w:hint="eastAsia" w:ascii="仿宋_GB2312" w:eastAsia="仿宋_GB2312"/>
          <w:sz w:val="32"/>
          <w:szCs w:val="32"/>
          <w:highlight w:val="none"/>
        </w:rPr>
        <w:t>万元，资源勘探工业信息等支出1000万元，商业服务业等支出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529</w:t>
      </w:r>
      <w:r>
        <w:rPr>
          <w:rFonts w:hint="eastAsia" w:ascii="仿宋_GB2312" w:eastAsia="仿宋_GB2312"/>
          <w:sz w:val="32"/>
          <w:szCs w:val="32"/>
          <w:highlight w:val="none"/>
        </w:rPr>
        <w:t>万元，住房保障支出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963</w:t>
      </w:r>
      <w:r>
        <w:rPr>
          <w:rFonts w:hint="eastAsia" w:ascii="仿宋_GB2312" w:eastAsia="仿宋_GB2312"/>
          <w:sz w:val="32"/>
          <w:szCs w:val="32"/>
          <w:highlight w:val="none"/>
        </w:rPr>
        <w:t>万元，灾害防治及应急管理支出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全部纳入预算绩效管理，</w:t>
      </w:r>
      <w:r>
        <w:rPr>
          <w:rFonts w:hint="eastAsia" w:ascii="仿宋_GB2312" w:eastAsia="仿宋_GB2312"/>
          <w:sz w:val="32"/>
          <w:szCs w:val="32"/>
          <w:highlight w:val="none"/>
        </w:rPr>
        <w:t>建立项目库，优化支出结构，提高财政资金的利用率。</w:t>
      </w:r>
    </w:p>
    <w:p>
      <w:pPr>
        <w:pStyle w:val="7"/>
        <w:widowControl w:val="0"/>
        <w:shd w:val="clear" w:color="auto"/>
        <w:autoSpaceDE w:val="0"/>
        <w:spacing w:line="580" w:lineRule="exact"/>
        <w:ind w:firstLine="640" w:firstLineChars="200"/>
        <w:jc w:val="both"/>
        <w:rPr>
          <w:rFonts w:hint="eastAsia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五、预算绩效工作开展情况</w:t>
      </w:r>
    </w:p>
    <w:p>
      <w:pPr>
        <w:shd w:val="clear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认真贯彻落实全面实施预算绩效管理的各项部署和要求，以绩效为导向调整优化支出结构，切实提高财政政策的精准度和有效性，提升财政资金的配置效率和使用效益。建立事前绩效评估机制，加强财政可承受能力评估，对不具备实施条件、存在财政风险隐患的政策和项目一律不得出台实施。加强绩效目标管理，科学设置绩效指标和指标值。扎实开展绩效目标运行监控，对发现的问题和管理漏洞，要及时采取措施予以纠正。全面开展绩效评价，加强绩效评价结果同政策调整、预算安排的有机结合，对支持方向与国家重大决策部署和部门主要职能相偏离、交叉重复的政策和项目予以调整，对低效无效项目进行压缩、调整或取消。统筹归并部门内部切块管理的项目，集中财力办大事。着力清理规范过高承诺、过度保障的支出政策，做到尽力而为、量力而行，确保财政可持续。</w:t>
      </w:r>
    </w:p>
    <w:p>
      <w:pPr>
        <w:shd w:val="clear"/>
        <w:spacing w:line="560" w:lineRule="exact"/>
        <w:ind w:firstLine="640" w:firstLineChars="200"/>
        <w:rPr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outlineLvl w:val="0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start="0"/>
      <w:cols w:space="425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ZkMDU0NWM0ZmM0NGU5ZWI3ZmIzN2ZhYmQ4NmY3ZDYifQ=="/>
  </w:docVars>
  <w:rsids>
    <w:rsidRoot w:val="00E96696"/>
    <w:rsid w:val="00005A3C"/>
    <w:rsid w:val="0000651A"/>
    <w:rsid w:val="000131C6"/>
    <w:rsid w:val="000133A7"/>
    <w:rsid w:val="00021781"/>
    <w:rsid w:val="00021B53"/>
    <w:rsid w:val="000225A7"/>
    <w:rsid w:val="000309A7"/>
    <w:rsid w:val="00033261"/>
    <w:rsid w:val="0003753E"/>
    <w:rsid w:val="0004067C"/>
    <w:rsid w:val="00040960"/>
    <w:rsid w:val="00043EF4"/>
    <w:rsid w:val="000503B9"/>
    <w:rsid w:val="000539CD"/>
    <w:rsid w:val="00082EDD"/>
    <w:rsid w:val="00092F00"/>
    <w:rsid w:val="000942D5"/>
    <w:rsid w:val="00094718"/>
    <w:rsid w:val="00097EF9"/>
    <w:rsid w:val="000A4BC1"/>
    <w:rsid w:val="000A4D2E"/>
    <w:rsid w:val="000A5147"/>
    <w:rsid w:val="000A563F"/>
    <w:rsid w:val="000A67FB"/>
    <w:rsid w:val="000A7F4F"/>
    <w:rsid w:val="000B3BD9"/>
    <w:rsid w:val="000B45B8"/>
    <w:rsid w:val="000C2AFC"/>
    <w:rsid w:val="000D4BFC"/>
    <w:rsid w:val="000D5891"/>
    <w:rsid w:val="000D7F0A"/>
    <w:rsid w:val="000E0857"/>
    <w:rsid w:val="000F4636"/>
    <w:rsid w:val="000F58A6"/>
    <w:rsid w:val="000F7BF3"/>
    <w:rsid w:val="00100C06"/>
    <w:rsid w:val="0010297D"/>
    <w:rsid w:val="00105BBA"/>
    <w:rsid w:val="00121475"/>
    <w:rsid w:val="0012218B"/>
    <w:rsid w:val="00126DE7"/>
    <w:rsid w:val="00131D23"/>
    <w:rsid w:val="00141DD0"/>
    <w:rsid w:val="00142128"/>
    <w:rsid w:val="00143582"/>
    <w:rsid w:val="00146ED7"/>
    <w:rsid w:val="0015129E"/>
    <w:rsid w:val="00160385"/>
    <w:rsid w:val="00162589"/>
    <w:rsid w:val="001679E3"/>
    <w:rsid w:val="001724B6"/>
    <w:rsid w:val="0017649E"/>
    <w:rsid w:val="00176652"/>
    <w:rsid w:val="00177894"/>
    <w:rsid w:val="00182AC8"/>
    <w:rsid w:val="00194584"/>
    <w:rsid w:val="001A0384"/>
    <w:rsid w:val="001A7E82"/>
    <w:rsid w:val="001B3D35"/>
    <w:rsid w:val="001C5825"/>
    <w:rsid w:val="001C6773"/>
    <w:rsid w:val="001C69C5"/>
    <w:rsid w:val="001C7962"/>
    <w:rsid w:val="001D2488"/>
    <w:rsid w:val="001D3E31"/>
    <w:rsid w:val="001D43EA"/>
    <w:rsid w:val="001D72F4"/>
    <w:rsid w:val="001F3B7D"/>
    <w:rsid w:val="0020153F"/>
    <w:rsid w:val="00203764"/>
    <w:rsid w:val="0020392C"/>
    <w:rsid w:val="00211FA8"/>
    <w:rsid w:val="002134B9"/>
    <w:rsid w:val="002274CC"/>
    <w:rsid w:val="002300D7"/>
    <w:rsid w:val="0023412E"/>
    <w:rsid w:val="002375C8"/>
    <w:rsid w:val="0024167C"/>
    <w:rsid w:val="00244A4F"/>
    <w:rsid w:val="00250D23"/>
    <w:rsid w:val="0025278A"/>
    <w:rsid w:val="002528CA"/>
    <w:rsid w:val="00253AFA"/>
    <w:rsid w:val="0025550C"/>
    <w:rsid w:val="00255AF2"/>
    <w:rsid w:val="002605DE"/>
    <w:rsid w:val="00263379"/>
    <w:rsid w:val="00277CB2"/>
    <w:rsid w:val="00277CE1"/>
    <w:rsid w:val="002804D6"/>
    <w:rsid w:val="00283C75"/>
    <w:rsid w:val="00286CC3"/>
    <w:rsid w:val="00295AFC"/>
    <w:rsid w:val="002A71D1"/>
    <w:rsid w:val="002B2C2A"/>
    <w:rsid w:val="002B4A46"/>
    <w:rsid w:val="002C58B0"/>
    <w:rsid w:val="002C6C86"/>
    <w:rsid w:val="002D2A4C"/>
    <w:rsid w:val="002D3896"/>
    <w:rsid w:val="002D4FAE"/>
    <w:rsid w:val="002E673F"/>
    <w:rsid w:val="002F1B5E"/>
    <w:rsid w:val="002F287E"/>
    <w:rsid w:val="002F30EB"/>
    <w:rsid w:val="002F5C3E"/>
    <w:rsid w:val="003003FC"/>
    <w:rsid w:val="00302565"/>
    <w:rsid w:val="003123AE"/>
    <w:rsid w:val="00317C5C"/>
    <w:rsid w:val="00322F41"/>
    <w:rsid w:val="0032716F"/>
    <w:rsid w:val="00337ECE"/>
    <w:rsid w:val="003553B3"/>
    <w:rsid w:val="00356E5E"/>
    <w:rsid w:val="00356FE7"/>
    <w:rsid w:val="00357967"/>
    <w:rsid w:val="00360095"/>
    <w:rsid w:val="00363DC7"/>
    <w:rsid w:val="00364524"/>
    <w:rsid w:val="00364E48"/>
    <w:rsid w:val="00367F1D"/>
    <w:rsid w:val="00383145"/>
    <w:rsid w:val="0038595B"/>
    <w:rsid w:val="003936CC"/>
    <w:rsid w:val="00396082"/>
    <w:rsid w:val="003A0BD8"/>
    <w:rsid w:val="003B24B2"/>
    <w:rsid w:val="003C0707"/>
    <w:rsid w:val="003C19F0"/>
    <w:rsid w:val="003C2D74"/>
    <w:rsid w:val="003D4C64"/>
    <w:rsid w:val="003E21DD"/>
    <w:rsid w:val="003E77D7"/>
    <w:rsid w:val="003F0678"/>
    <w:rsid w:val="003F0FE0"/>
    <w:rsid w:val="003F58E4"/>
    <w:rsid w:val="003F612D"/>
    <w:rsid w:val="003F6E48"/>
    <w:rsid w:val="0040575F"/>
    <w:rsid w:val="00415A2B"/>
    <w:rsid w:val="0042128C"/>
    <w:rsid w:val="00431B3F"/>
    <w:rsid w:val="004320C4"/>
    <w:rsid w:val="00434050"/>
    <w:rsid w:val="00443FF1"/>
    <w:rsid w:val="00446AC5"/>
    <w:rsid w:val="00447A55"/>
    <w:rsid w:val="00453A91"/>
    <w:rsid w:val="0045480C"/>
    <w:rsid w:val="004572A2"/>
    <w:rsid w:val="00461DFD"/>
    <w:rsid w:val="00464B5D"/>
    <w:rsid w:val="0046686D"/>
    <w:rsid w:val="0047040B"/>
    <w:rsid w:val="00470AD5"/>
    <w:rsid w:val="004914CF"/>
    <w:rsid w:val="004A11C1"/>
    <w:rsid w:val="004A14E7"/>
    <w:rsid w:val="004A68A9"/>
    <w:rsid w:val="004A6D1C"/>
    <w:rsid w:val="004B1D54"/>
    <w:rsid w:val="004B277D"/>
    <w:rsid w:val="004B3814"/>
    <w:rsid w:val="004B6E73"/>
    <w:rsid w:val="004C3F2A"/>
    <w:rsid w:val="004C775D"/>
    <w:rsid w:val="004D6882"/>
    <w:rsid w:val="004E00B5"/>
    <w:rsid w:val="004E1B9E"/>
    <w:rsid w:val="004E5D17"/>
    <w:rsid w:val="004E5E3E"/>
    <w:rsid w:val="004F5EE8"/>
    <w:rsid w:val="00501040"/>
    <w:rsid w:val="00503EB4"/>
    <w:rsid w:val="00504AB5"/>
    <w:rsid w:val="00510CB6"/>
    <w:rsid w:val="00511B09"/>
    <w:rsid w:val="00513778"/>
    <w:rsid w:val="00520A7A"/>
    <w:rsid w:val="0052199E"/>
    <w:rsid w:val="00534007"/>
    <w:rsid w:val="00535CE7"/>
    <w:rsid w:val="0053731F"/>
    <w:rsid w:val="00550D47"/>
    <w:rsid w:val="00557982"/>
    <w:rsid w:val="00560480"/>
    <w:rsid w:val="005614AE"/>
    <w:rsid w:val="00562913"/>
    <w:rsid w:val="00574429"/>
    <w:rsid w:val="005769FF"/>
    <w:rsid w:val="00581573"/>
    <w:rsid w:val="0058492B"/>
    <w:rsid w:val="005868AB"/>
    <w:rsid w:val="0058700B"/>
    <w:rsid w:val="005904E0"/>
    <w:rsid w:val="00594731"/>
    <w:rsid w:val="005A0AF5"/>
    <w:rsid w:val="005A3FEC"/>
    <w:rsid w:val="005A4A0E"/>
    <w:rsid w:val="005A54CF"/>
    <w:rsid w:val="005B1146"/>
    <w:rsid w:val="005B1268"/>
    <w:rsid w:val="005B3860"/>
    <w:rsid w:val="005B5900"/>
    <w:rsid w:val="005B7596"/>
    <w:rsid w:val="005B7B71"/>
    <w:rsid w:val="005C027D"/>
    <w:rsid w:val="005C6469"/>
    <w:rsid w:val="005C66FD"/>
    <w:rsid w:val="005C79F9"/>
    <w:rsid w:val="005D5846"/>
    <w:rsid w:val="005D5AFB"/>
    <w:rsid w:val="005E298B"/>
    <w:rsid w:val="005E565B"/>
    <w:rsid w:val="005F23EA"/>
    <w:rsid w:val="005F2B24"/>
    <w:rsid w:val="0060445F"/>
    <w:rsid w:val="00616D0B"/>
    <w:rsid w:val="00626971"/>
    <w:rsid w:val="00644E78"/>
    <w:rsid w:val="00650591"/>
    <w:rsid w:val="00656F5A"/>
    <w:rsid w:val="00666237"/>
    <w:rsid w:val="00671EED"/>
    <w:rsid w:val="0068058B"/>
    <w:rsid w:val="00684B0F"/>
    <w:rsid w:val="00687A6B"/>
    <w:rsid w:val="00690D2B"/>
    <w:rsid w:val="00691671"/>
    <w:rsid w:val="006A17A5"/>
    <w:rsid w:val="006A6901"/>
    <w:rsid w:val="006A6CBB"/>
    <w:rsid w:val="006C25F3"/>
    <w:rsid w:val="006C4CD1"/>
    <w:rsid w:val="006C7008"/>
    <w:rsid w:val="006D448F"/>
    <w:rsid w:val="006D69BC"/>
    <w:rsid w:val="006E077B"/>
    <w:rsid w:val="006E44D8"/>
    <w:rsid w:val="006E5037"/>
    <w:rsid w:val="006F7856"/>
    <w:rsid w:val="007055D4"/>
    <w:rsid w:val="0070653A"/>
    <w:rsid w:val="007117B2"/>
    <w:rsid w:val="00712C24"/>
    <w:rsid w:val="00724A3B"/>
    <w:rsid w:val="00730AEA"/>
    <w:rsid w:val="0073128E"/>
    <w:rsid w:val="00733C9A"/>
    <w:rsid w:val="00751669"/>
    <w:rsid w:val="00752C35"/>
    <w:rsid w:val="00752CEF"/>
    <w:rsid w:val="00764E5A"/>
    <w:rsid w:val="0077239B"/>
    <w:rsid w:val="00772CA1"/>
    <w:rsid w:val="0077459D"/>
    <w:rsid w:val="00774AB1"/>
    <w:rsid w:val="00774DD1"/>
    <w:rsid w:val="00776FA9"/>
    <w:rsid w:val="00777ACB"/>
    <w:rsid w:val="007823C9"/>
    <w:rsid w:val="007853B2"/>
    <w:rsid w:val="007872FF"/>
    <w:rsid w:val="007A7678"/>
    <w:rsid w:val="007B1B94"/>
    <w:rsid w:val="007B4E7D"/>
    <w:rsid w:val="007C4D3B"/>
    <w:rsid w:val="007D4AC0"/>
    <w:rsid w:val="007F79DC"/>
    <w:rsid w:val="008035BB"/>
    <w:rsid w:val="00806989"/>
    <w:rsid w:val="00807D88"/>
    <w:rsid w:val="00811EA8"/>
    <w:rsid w:val="008159CF"/>
    <w:rsid w:val="0081779E"/>
    <w:rsid w:val="0082468E"/>
    <w:rsid w:val="008300F6"/>
    <w:rsid w:val="00830EC7"/>
    <w:rsid w:val="00832B39"/>
    <w:rsid w:val="008354F4"/>
    <w:rsid w:val="00836125"/>
    <w:rsid w:val="008378C6"/>
    <w:rsid w:val="00842B9A"/>
    <w:rsid w:val="00845C36"/>
    <w:rsid w:val="00851C66"/>
    <w:rsid w:val="00852620"/>
    <w:rsid w:val="00857FF6"/>
    <w:rsid w:val="00860DD0"/>
    <w:rsid w:val="00864890"/>
    <w:rsid w:val="00864D27"/>
    <w:rsid w:val="00865621"/>
    <w:rsid w:val="008672DF"/>
    <w:rsid w:val="008674EB"/>
    <w:rsid w:val="00875CE3"/>
    <w:rsid w:val="00887911"/>
    <w:rsid w:val="00892047"/>
    <w:rsid w:val="008929B1"/>
    <w:rsid w:val="00894FA5"/>
    <w:rsid w:val="00895F8A"/>
    <w:rsid w:val="008A21F5"/>
    <w:rsid w:val="008B14AE"/>
    <w:rsid w:val="008B244A"/>
    <w:rsid w:val="008B245E"/>
    <w:rsid w:val="008B365B"/>
    <w:rsid w:val="008B3B99"/>
    <w:rsid w:val="008B6F16"/>
    <w:rsid w:val="008C0C4A"/>
    <w:rsid w:val="008C319F"/>
    <w:rsid w:val="008C7172"/>
    <w:rsid w:val="008D0572"/>
    <w:rsid w:val="008D586C"/>
    <w:rsid w:val="008E7021"/>
    <w:rsid w:val="008F0433"/>
    <w:rsid w:val="008F7179"/>
    <w:rsid w:val="008F7FDC"/>
    <w:rsid w:val="00921FCF"/>
    <w:rsid w:val="009238C2"/>
    <w:rsid w:val="00925C8B"/>
    <w:rsid w:val="0093013D"/>
    <w:rsid w:val="00930D0A"/>
    <w:rsid w:val="00944260"/>
    <w:rsid w:val="00944C56"/>
    <w:rsid w:val="00952D2C"/>
    <w:rsid w:val="009545D0"/>
    <w:rsid w:val="00965850"/>
    <w:rsid w:val="00965D82"/>
    <w:rsid w:val="009713F0"/>
    <w:rsid w:val="00987BF6"/>
    <w:rsid w:val="00997552"/>
    <w:rsid w:val="009A4491"/>
    <w:rsid w:val="009A498F"/>
    <w:rsid w:val="009A52ED"/>
    <w:rsid w:val="009B5DE7"/>
    <w:rsid w:val="009C5BE7"/>
    <w:rsid w:val="009C7D4C"/>
    <w:rsid w:val="009D16F2"/>
    <w:rsid w:val="009D4F18"/>
    <w:rsid w:val="009D7E3F"/>
    <w:rsid w:val="009D7EC3"/>
    <w:rsid w:val="009E09AD"/>
    <w:rsid w:val="009E0FF8"/>
    <w:rsid w:val="009E33E1"/>
    <w:rsid w:val="009E4B22"/>
    <w:rsid w:val="009F1EEC"/>
    <w:rsid w:val="009F53ED"/>
    <w:rsid w:val="009F66EB"/>
    <w:rsid w:val="00A0243E"/>
    <w:rsid w:val="00A02D61"/>
    <w:rsid w:val="00A20AE8"/>
    <w:rsid w:val="00A35A03"/>
    <w:rsid w:val="00A460DE"/>
    <w:rsid w:val="00A500D1"/>
    <w:rsid w:val="00A50730"/>
    <w:rsid w:val="00A51226"/>
    <w:rsid w:val="00A6732C"/>
    <w:rsid w:val="00A6754C"/>
    <w:rsid w:val="00A70CAA"/>
    <w:rsid w:val="00A775A5"/>
    <w:rsid w:val="00A87F35"/>
    <w:rsid w:val="00A91DB7"/>
    <w:rsid w:val="00A92F91"/>
    <w:rsid w:val="00A9423F"/>
    <w:rsid w:val="00A9582B"/>
    <w:rsid w:val="00A965F8"/>
    <w:rsid w:val="00AA13DA"/>
    <w:rsid w:val="00AA15C2"/>
    <w:rsid w:val="00AA292A"/>
    <w:rsid w:val="00AA6F33"/>
    <w:rsid w:val="00AB0DA7"/>
    <w:rsid w:val="00AC1ED8"/>
    <w:rsid w:val="00AC5944"/>
    <w:rsid w:val="00AD2179"/>
    <w:rsid w:val="00AD4BCF"/>
    <w:rsid w:val="00AD4C7A"/>
    <w:rsid w:val="00AD7564"/>
    <w:rsid w:val="00AD75D4"/>
    <w:rsid w:val="00AE1C9A"/>
    <w:rsid w:val="00AE388E"/>
    <w:rsid w:val="00AF0EB2"/>
    <w:rsid w:val="00AF7F5F"/>
    <w:rsid w:val="00B0121A"/>
    <w:rsid w:val="00B012CE"/>
    <w:rsid w:val="00B02643"/>
    <w:rsid w:val="00B06FAE"/>
    <w:rsid w:val="00B07664"/>
    <w:rsid w:val="00B118D5"/>
    <w:rsid w:val="00B11D0D"/>
    <w:rsid w:val="00B131B2"/>
    <w:rsid w:val="00B20CE9"/>
    <w:rsid w:val="00B32B81"/>
    <w:rsid w:val="00B33BB4"/>
    <w:rsid w:val="00B371BE"/>
    <w:rsid w:val="00B416A5"/>
    <w:rsid w:val="00B5578D"/>
    <w:rsid w:val="00B65A1C"/>
    <w:rsid w:val="00B83BF4"/>
    <w:rsid w:val="00B857A6"/>
    <w:rsid w:val="00B862FE"/>
    <w:rsid w:val="00B87ADC"/>
    <w:rsid w:val="00B87F4C"/>
    <w:rsid w:val="00B944D0"/>
    <w:rsid w:val="00B963D7"/>
    <w:rsid w:val="00BA501A"/>
    <w:rsid w:val="00BA517E"/>
    <w:rsid w:val="00BA59C0"/>
    <w:rsid w:val="00BB2693"/>
    <w:rsid w:val="00BB6B72"/>
    <w:rsid w:val="00BC02BC"/>
    <w:rsid w:val="00BC076F"/>
    <w:rsid w:val="00BC1918"/>
    <w:rsid w:val="00BC2C7E"/>
    <w:rsid w:val="00BC43CC"/>
    <w:rsid w:val="00BD2373"/>
    <w:rsid w:val="00BD65EB"/>
    <w:rsid w:val="00BE03C6"/>
    <w:rsid w:val="00BE0927"/>
    <w:rsid w:val="00BE244C"/>
    <w:rsid w:val="00BE699D"/>
    <w:rsid w:val="00BE704B"/>
    <w:rsid w:val="00BF5130"/>
    <w:rsid w:val="00C025F7"/>
    <w:rsid w:val="00C05665"/>
    <w:rsid w:val="00C16C1B"/>
    <w:rsid w:val="00C219B1"/>
    <w:rsid w:val="00C22F3D"/>
    <w:rsid w:val="00C23572"/>
    <w:rsid w:val="00C319E9"/>
    <w:rsid w:val="00C4350A"/>
    <w:rsid w:val="00C529E8"/>
    <w:rsid w:val="00C602B8"/>
    <w:rsid w:val="00C6744E"/>
    <w:rsid w:val="00C77BA5"/>
    <w:rsid w:val="00C8470B"/>
    <w:rsid w:val="00C84EED"/>
    <w:rsid w:val="00C879CB"/>
    <w:rsid w:val="00C91C82"/>
    <w:rsid w:val="00CA09AE"/>
    <w:rsid w:val="00CA4441"/>
    <w:rsid w:val="00CA4CF9"/>
    <w:rsid w:val="00CC0E6A"/>
    <w:rsid w:val="00CC6F9E"/>
    <w:rsid w:val="00CD3034"/>
    <w:rsid w:val="00CD368A"/>
    <w:rsid w:val="00CE04BA"/>
    <w:rsid w:val="00CE56F7"/>
    <w:rsid w:val="00CF04CE"/>
    <w:rsid w:val="00CF1093"/>
    <w:rsid w:val="00D11485"/>
    <w:rsid w:val="00D171A8"/>
    <w:rsid w:val="00D24B3C"/>
    <w:rsid w:val="00D30042"/>
    <w:rsid w:val="00D3365B"/>
    <w:rsid w:val="00D35550"/>
    <w:rsid w:val="00D425FB"/>
    <w:rsid w:val="00D42AE0"/>
    <w:rsid w:val="00D46321"/>
    <w:rsid w:val="00D51C9F"/>
    <w:rsid w:val="00D53600"/>
    <w:rsid w:val="00D54539"/>
    <w:rsid w:val="00D61490"/>
    <w:rsid w:val="00D6559C"/>
    <w:rsid w:val="00D67354"/>
    <w:rsid w:val="00D71063"/>
    <w:rsid w:val="00D71F02"/>
    <w:rsid w:val="00D74717"/>
    <w:rsid w:val="00D7581B"/>
    <w:rsid w:val="00D81148"/>
    <w:rsid w:val="00D813CD"/>
    <w:rsid w:val="00D848FF"/>
    <w:rsid w:val="00D85F29"/>
    <w:rsid w:val="00D863B1"/>
    <w:rsid w:val="00D876BE"/>
    <w:rsid w:val="00DA0EBA"/>
    <w:rsid w:val="00DA7147"/>
    <w:rsid w:val="00DB0EC1"/>
    <w:rsid w:val="00DB4ACE"/>
    <w:rsid w:val="00DB5FAC"/>
    <w:rsid w:val="00DC5D77"/>
    <w:rsid w:val="00DC65D0"/>
    <w:rsid w:val="00DE43AC"/>
    <w:rsid w:val="00DE5975"/>
    <w:rsid w:val="00DF1B2D"/>
    <w:rsid w:val="00DF211B"/>
    <w:rsid w:val="00DF2F89"/>
    <w:rsid w:val="00DF5238"/>
    <w:rsid w:val="00DF60A1"/>
    <w:rsid w:val="00DF7C67"/>
    <w:rsid w:val="00E04B4D"/>
    <w:rsid w:val="00E0691D"/>
    <w:rsid w:val="00E12508"/>
    <w:rsid w:val="00E14C5F"/>
    <w:rsid w:val="00E177C8"/>
    <w:rsid w:val="00E2018F"/>
    <w:rsid w:val="00E20309"/>
    <w:rsid w:val="00E21B9B"/>
    <w:rsid w:val="00E25126"/>
    <w:rsid w:val="00E30C51"/>
    <w:rsid w:val="00E37855"/>
    <w:rsid w:val="00E41424"/>
    <w:rsid w:val="00E41CB6"/>
    <w:rsid w:val="00E420F4"/>
    <w:rsid w:val="00E47087"/>
    <w:rsid w:val="00E51156"/>
    <w:rsid w:val="00E52B57"/>
    <w:rsid w:val="00E52DBB"/>
    <w:rsid w:val="00E55977"/>
    <w:rsid w:val="00E642B3"/>
    <w:rsid w:val="00E70296"/>
    <w:rsid w:val="00E70C37"/>
    <w:rsid w:val="00E778F2"/>
    <w:rsid w:val="00E807C8"/>
    <w:rsid w:val="00E874FD"/>
    <w:rsid w:val="00E91291"/>
    <w:rsid w:val="00E96696"/>
    <w:rsid w:val="00E97796"/>
    <w:rsid w:val="00EA3F84"/>
    <w:rsid w:val="00EA6A5A"/>
    <w:rsid w:val="00EB1A91"/>
    <w:rsid w:val="00EB1C36"/>
    <w:rsid w:val="00EB26CB"/>
    <w:rsid w:val="00EB3356"/>
    <w:rsid w:val="00ED5767"/>
    <w:rsid w:val="00ED6266"/>
    <w:rsid w:val="00EE5C25"/>
    <w:rsid w:val="00EE5D3C"/>
    <w:rsid w:val="00EF626E"/>
    <w:rsid w:val="00F02FB1"/>
    <w:rsid w:val="00F03D3B"/>
    <w:rsid w:val="00F12F11"/>
    <w:rsid w:val="00F15238"/>
    <w:rsid w:val="00F1609E"/>
    <w:rsid w:val="00F20F45"/>
    <w:rsid w:val="00F24F3D"/>
    <w:rsid w:val="00F31D46"/>
    <w:rsid w:val="00F37C13"/>
    <w:rsid w:val="00F40263"/>
    <w:rsid w:val="00F42A16"/>
    <w:rsid w:val="00F46FED"/>
    <w:rsid w:val="00F50A52"/>
    <w:rsid w:val="00F57B30"/>
    <w:rsid w:val="00F657C6"/>
    <w:rsid w:val="00F72B96"/>
    <w:rsid w:val="00F7721E"/>
    <w:rsid w:val="00F80D18"/>
    <w:rsid w:val="00F82A09"/>
    <w:rsid w:val="00FB5500"/>
    <w:rsid w:val="00FC310A"/>
    <w:rsid w:val="00FC56E6"/>
    <w:rsid w:val="00FC584C"/>
    <w:rsid w:val="00FC6342"/>
    <w:rsid w:val="00FE2183"/>
    <w:rsid w:val="00FE3E4E"/>
    <w:rsid w:val="00FE796C"/>
    <w:rsid w:val="00FF20FF"/>
    <w:rsid w:val="00FF44E8"/>
    <w:rsid w:val="01D31697"/>
    <w:rsid w:val="027957CF"/>
    <w:rsid w:val="02840366"/>
    <w:rsid w:val="034842A4"/>
    <w:rsid w:val="034B3767"/>
    <w:rsid w:val="063201C0"/>
    <w:rsid w:val="067E1DDA"/>
    <w:rsid w:val="08277523"/>
    <w:rsid w:val="08840259"/>
    <w:rsid w:val="094975F9"/>
    <w:rsid w:val="094A48A5"/>
    <w:rsid w:val="095E7F7C"/>
    <w:rsid w:val="09D75EB4"/>
    <w:rsid w:val="0A2313D9"/>
    <w:rsid w:val="0B0A66F6"/>
    <w:rsid w:val="0B1E5187"/>
    <w:rsid w:val="0D0B12BC"/>
    <w:rsid w:val="0D3008A5"/>
    <w:rsid w:val="0D9F7AE4"/>
    <w:rsid w:val="0DBD4F59"/>
    <w:rsid w:val="0E62151E"/>
    <w:rsid w:val="0EDF6A16"/>
    <w:rsid w:val="0F7E6B45"/>
    <w:rsid w:val="100B1753"/>
    <w:rsid w:val="10B0455E"/>
    <w:rsid w:val="111F5493"/>
    <w:rsid w:val="11226693"/>
    <w:rsid w:val="11587BC7"/>
    <w:rsid w:val="12C1661A"/>
    <w:rsid w:val="13A57E53"/>
    <w:rsid w:val="14063438"/>
    <w:rsid w:val="14523F1E"/>
    <w:rsid w:val="14604E15"/>
    <w:rsid w:val="14ED5DC4"/>
    <w:rsid w:val="15972265"/>
    <w:rsid w:val="15EE15D4"/>
    <w:rsid w:val="161135CD"/>
    <w:rsid w:val="161E1E3C"/>
    <w:rsid w:val="16380091"/>
    <w:rsid w:val="16455694"/>
    <w:rsid w:val="16A853CC"/>
    <w:rsid w:val="16BE01F2"/>
    <w:rsid w:val="183704DE"/>
    <w:rsid w:val="19EF68BC"/>
    <w:rsid w:val="1AC042DA"/>
    <w:rsid w:val="1ACA28E8"/>
    <w:rsid w:val="1B24009C"/>
    <w:rsid w:val="1BDE37FF"/>
    <w:rsid w:val="1C844E3C"/>
    <w:rsid w:val="1DE211DA"/>
    <w:rsid w:val="1FA51369"/>
    <w:rsid w:val="1FEF6AC7"/>
    <w:rsid w:val="20B569E1"/>
    <w:rsid w:val="215923BC"/>
    <w:rsid w:val="21951551"/>
    <w:rsid w:val="21952920"/>
    <w:rsid w:val="21AA5316"/>
    <w:rsid w:val="21B3428C"/>
    <w:rsid w:val="225F5B19"/>
    <w:rsid w:val="22CF46D8"/>
    <w:rsid w:val="232B2304"/>
    <w:rsid w:val="23C54E6A"/>
    <w:rsid w:val="249E25F8"/>
    <w:rsid w:val="266729FF"/>
    <w:rsid w:val="27EE10B9"/>
    <w:rsid w:val="29410625"/>
    <w:rsid w:val="29B72E30"/>
    <w:rsid w:val="2A785DEF"/>
    <w:rsid w:val="2AA915F9"/>
    <w:rsid w:val="2AE436FB"/>
    <w:rsid w:val="2AF97FB2"/>
    <w:rsid w:val="2E7478F6"/>
    <w:rsid w:val="2ED725A7"/>
    <w:rsid w:val="2F22194F"/>
    <w:rsid w:val="2F732945"/>
    <w:rsid w:val="2F8C72E3"/>
    <w:rsid w:val="2FF35045"/>
    <w:rsid w:val="304A6DE5"/>
    <w:rsid w:val="307E05A6"/>
    <w:rsid w:val="314B6F87"/>
    <w:rsid w:val="322D77BD"/>
    <w:rsid w:val="3247068A"/>
    <w:rsid w:val="32C962C6"/>
    <w:rsid w:val="32E952DE"/>
    <w:rsid w:val="341665E5"/>
    <w:rsid w:val="34842858"/>
    <w:rsid w:val="34B135DC"/>
    <w:rsid w:val="3515503B"/>
    <w:rsid w:val="35161CE2"/>
    <w:rsid w:val="355422D8"/>
    <w:rsid w:val="362D68F7"/>
    <w:rsid w:val="36B12398"/>
    <w:rsid w:val="36BE4367"/>
    <w:rsid w:val="379D02CC"/>
    <w:rsid w:val="39AF19F6"/>
    <w:rsid w:val="39E15752"/>
    <w:rsid w:val="3A015382"/>
    <w:rsid w:val="3A193463"/>
    <w:rsid w:val="3AD921B5"/>
    <w:rsid w:val="3B2127AC"/>
    <w:rsid w:val="3BCA4ED6"/>
    <w:rsid w:val="3BE42D55"/>
    <w:rsid w:val="3C541124"/>
    <w:rsid w:val="3CA12A62"/>
    <w:rsid w:val="3CAF44A8"/>
    <w:rsid w:val="3D59768B"/>
    <w:rsid w:val="3E4C118A"/>
    <w:rsid w:val="3E591C4A"/>
    <w:rsid w:val="3E845940"/>
    <w:rsid w:val="3F900D06"/>
    <w:rsid w:val="3FAF4979"/>
    <w:rsid w:val="406C313B"/>
    <w:rsid w:val="4120132C"/>
    <w:rsid w:val="41D66AF3"/>
    <w:rsid w:val="41E7037B"/>
    <w:rsid w:val="443D5B60"/>
    <w:rsid w:val="447659BC"/>
    <w:rsid w:val="4646249D"/>
    <w:rsid w:val="46F122DF"/>
    <w:rsid w:val="47864D06"/>
    <w:rsid w:val="47F95B59"/>
    <w:rsid w:val="488B56C6"/>
    <w:rsid w:val="49CA1314"/>
    <w:rsid w:val="49F7713A"/>
    <w:rsid w:val="4AB85226"/>
    <w:rsid w:val="4AEA7567"/>
    <w:rsid w:val="4B8261CE"/>
    <w:rsid w:val="4BC62151"/>
    <w:rsid w:val="4C3115F2"/>
    <w:rsid w:val="4C4D295B"/>
    <w:rsid w:val="4CA53B8D"/>
    <w:rsid w:val="4D856B8D"/>
    <w:rsid w:val="4DCE7A36"/>
    <w:rsid w:val="4E0D01D9"/>
    <w:rsid w:val="4EA32D64"/>
    <w:rsid w:val="4EC014B2"/>
    <w:rsid w:val="4EEB2489"/>
    <w:rsid w:val="4F017C15"/>
    <w:rsid w:val="4F334B95"/>
    <w:rsid w:val="50085821"/>
    <w:rsid w:val="50E87D87"/>
    <w:rsid w:val="52DE3780"/>
    <w:rsid w:val="53434E23"/>
    <w:rsid w:val="538748B8"/>
    <w:rsid w:val="53C91313"/>
    <w:rsid w:val="53F07E46"/>
    <w:rsid w:val="5448668E"/>
    <w:rsid w:val="55120BB9"/>
    <w:rsid w:val="55E41CAC"/>
    <w:rsid w:val="569964C1"/>
    <w:rsid w:val="56DC6F9D"/>
    <w:rsid w:val="576A3327"/>
    <w:rsid w:val="577F7228"/>
    <w:rsid w:val="579922C8"/>
    <w:rsid w:val="57B65496"/>
    <w:rsid w:val="58144560"/>
    <w:rsid w:val="58CD1931"/>
    <w:rsid w:val="5A1B4F45"/>
    <w:rsid w:val="5A610C4A"/>
    <w:rsid w:val="5A735093"/>
    <w:rsid w:val="5A7740F1"/>
    <w:rsid w:val="5AAD77A3"/>
    <w:rsid w:val="5B7A208C"/>
    <w:rsid w:val="5C3A32D8"/>
    <w:rsid w:val="5C823C92"/>
    <w:rsid w:val="5CF71849"/>
    <w:rsid w:val="5D626663"/>
    <w:rsid w:val="5DF10D07"/>
    <w:rsid w:val="5E18154B"/>
    <w:rsid w:val="5E791A36"/>
    <w:rsid w:val="5E90005B"/>
    <w:rsid w:val="5EEC447F"/>
    <w:rsid w:val="5F672111"/>
    <w:rsid w:val="5F941790"/>
    <w:rsid w:val="5FCE1B56"/>
    <w:rsid w:val="60093A93"/>
    <w:rsid w:val="603B4020"/>
    <w:rsid w:val="60BD1D65"/>
    <w:rsid w:val="61450706"/>
    <w:rsid w:val="62531FDD"/>
    <w:rsid w:val="63583DA4"/>
    <w:rsid w:val="675E02F8"/>
    <w:rsid w:val="67E255DB"/>
    <w:rsid w:val="688D3416"/>
    <w:rsid w:val="68CA6467"/>
    <w:rsid w:val="69306FE9"/>
    <w:rsid w:val="6A5F73E0"/>
    <w:rsid w:val="6AD05EEC"/>
    <w:rsid w:val="6D982CB8"/>
    <w:rsid w:val="70187FED"/>
    <w:rsid w:val="70CB2D36"/>
    <w:rsid w:val="70F82C91"/>
    <w:rsid w:val="72D03DF2"/>
    <w:rsid w:val="74A81BDD"/>
    <w:rsid w:val="75A80B4E"/>
    <w:rsid w:val="76AC2445"/>
    <w:rsid w:val="76B25C80"/>
    <w:rsid w:val="77091CCA"/>
    <w:rsid w:val="777D3795"/>
    <w:rsid w:val="77E727B6"/>
    <w:rsid w:val="78ED4231"/>
    <w:rsid w:val="7971271F"/>
    <w:rsid w:val="79A10B19"/>
    <w:rsid w:val="7A0E6563"/>
    <w:rsid w:val="7A225D8D"/>
    <w:rsid w:val="7A7E31D0"/>
    <w:rsid w:val="7A9737E7"/>
    <w:rsid w:val="7C5F53ED"/>
    <w:rsid w:val="7D0A194C"/>
    <w:rsid w:val="7D6244DD"/>
    <w:rsid w:val="7DEC0FA9"/>
    <w:rsid w:val="7E2F35F7"/>
    <w:rsid w:val="7E307B16"/>
    <w:rsid w:val="7F973F5E"/>
    <w:rsid w:val="7F9D7393"/>
    <w:rsid w:val="7FD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lock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2">
    <w:name w:val="文档结构图 Char"/>
    <w:basedOn w:val="9"/>
    <w:link w:val="2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批注文字 Char"/>
    <w:basedOn w:val="9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框文本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Char Char Char Char Char Char Char"/>
    <w:basedOn w:val="1"/>
    <w:qFormat/>
    <w:uiPriority w:val="99"/>
    <w:rPr>
      <w:szCs w:val="21"/>
    </w:rPr>
  </w:style>
  <w:style w:type="paragraph" w:customStyle="1" w:styleId="18">
    <w:name w:val="Char Char3 Char Char Char Char"/>
    <w:basedOn w:val="1"/>
    <w:qFormat/>
    <w:uiPriority w:val="99"/>
    <w:rPr>
      <w:szCs w:val="21"/>
    </w:rPr>
  </w:style>
  <w:style w:type="paragraph" w:customStyle="1" w:styleId="19">
    <w:name w:val="默认段落字体 Para Char Char Char Char"/>
    <w:basedOn w:val="1"/>
    <w:qFormat/>
    <w:uiPriority w:val="99"/>
    <w:rPr>
      <w:sz w:val="32"/>
      <w:szCs w:val="32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31B9C-3949-41D4-A11E-1EB8BB0DF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3969</Words>
  <Characters>4821</Characters>
  <Lines>7</Lines>
  <Paragraphs>9</Paragraphs>
  <TotalTime>6</TotalTime>
  <ScaleCrop>false</ScaleCrop>
  <LinksUpToDate>false</LinksUpToDate>
  <CharactersWithSpaces>4832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2020-01-14T03:36:00Z</dcterms:created>
  <dc:creator>潘晓琳</dc:creator>
  <cp:lastModifiedBy>Administrator</cp:lastModifiedBy>
  <cp:lastPrinted>2020-01-16T07:23:00Z</cp:lastPrinted>
  <dcterms:modified xsi:type="dcterms:W3CDTF">2023-01-18T02:18:54Z</dcterms:modified>
  <dc:title>关于2018年高新区一般公共预算收入执行情况的说明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D56982FCF85D4AD0ABEBB783CC17764F</vt:lpwstr>
  </property>
</Properties>
</file>