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D6" w:rsidRPr="00070CCE" w:rsidRDefault="005E623C">
      <w:pPr>
        <w:adjustRightInd w:val="0"/>
        <w:snapToGrid w:val="0"/>
        <w:spacing w:line="600" w:lineRule="exact"/>
        <w:jc w:val="center"/>
        <w:rPr>
          <w:rFonts w:ascii="黑体" w:eastAsia="黑体" w:hAnsi="黑体" w:cs="黑体"/>
          <w:sz w:val="36"/>
          <w:szCs w:val="36"/>
        </w:rPr>
      </w:pPr>
      <w:r w:rsidRPr="00070CCE">
        <w:rPr>
          <w:rFonts w:ascii="黑体" w:eastAsia="黑体" w:hAnsi="黑体" w:cs="黑体" w:hint="eastAsia"/>
          <w:sz w:val="36"/>
          <w:szCs w:val="36"/>
        </w:rPr>
        <w:t>2021</w:t>
      </w:r>
      <w:r w:rsidR="00070CCE">
        <w:rPr>
          <w:rFonts w:ascii="黑体" w:eastAsia="黑体" w:hAnsi="黑体" w:cs="黑体" w:hint="eastAsia"/>
          <w:sz w:val="36"/>
          <w:szCs w:val="36"/>
        </w:rPr>
        <w:t>年度平顶山</w:t>
      </w:r>
      <w:r w:rsidR="00D6298D" w:rsidRPr="00070CCE">
        <w:rPr>
          <w:rFonts w:ascii="黑体" w:eastAsia="黑体" w:hAnsi="黑体" w:cs="黑体" w:hint="eastAsia"/>
          <w:sz w:val="36"/>
          <w:szCs w:val="36"/>
        </w:rPr>
        <w:t>高新技术产业开发</w:t>
      </w:r>
      <w:r w:rsidRPr="00070CCE">
        <w:rPr>
          <w:rFonts w:ascii="黑体" w:eastAsia="黑体" w:hAnsi="黑体" w:cs="黑体" w:hint="eastAsia"/>
          <w:sz w:val="36"/>
          <w:szCs w:val="36"/>
        </w:rPr>
        <w:t>区应急管理局</w:t>
      </w:r>
    </w:p>
    <w:p w:rsidR="000D28D6" w:rsidRDefault="005E623C">
      <w:pPr>
        <w:adjustRightInd w:val="0"/>
        <w:snapToGrid w:val="0"/>
        <w:spacing w:line="600" w:lineRule="exact"/>
        <w:jc w:val="center"/>
        <w:rPr>
          <w:rFonts w:ascii="黑体" w:eastAsia="黑体" w:hAnsi="黑体" w:cs="黑体"/>
          <w:sz w:val="44"/>
          <w:szCs w:val="44"/>
        </w:rPr>
      </w:pPr>
      <w:r>
        <w:rPr>
          <w:rFonts w:ascii="黑体" w:eastAsia="黑体" w:hAnsi="黑体" w:cs="黑体" w:hint="eastAsia"/>
          <w:sz w:val="44"/>
          <w:szCs w:val="44"/>
        </w:rPr>
        <w:t>部门整体支出绩效评价报告</w:t>
      </w:r>
    </w:p>
    <w:p w:rsidR="000D28D6" w:rsidRDefault="000D28D6">
      <w:pPr>
        <w:adjustRightInd w:val="0"/>
        <w:snapToGrid w:val="0"/>
        <w:spacing w:line="600" w:lineRule="exact"/>
        <w:jc w:val="center"/>
        <w:rPr>
          <w:rFonts w:ascii="黑体" w:eastAsia="黑体" w:hAnsi="黑体" w:cs="黑体"/>
          <w:sz w:val="44"/>
          <w:szCs w:val="44"/>
        </w:rPr>
      </w:pPr>
    </w:p>
    <w:p w:rsidR="000D28D6" w:rsidRDefault="005E623C">
      <w:pPr>
        <w:adjustRightInd w:val="0"/>
        <w:snapToGrid w:val="0"/>
        <w:spacing w:line="600" w:lineRule="exact"/>
        <w:ind w:firstLine="640"/>
        <w:jc w:val="left"/>
        <w:rPr>
          <w:rFonts w:ascii="仿宋" w:eastAsia="仿宋" w:hAnsi="仿宋" w:cs="仿宋"/>
          <w:sz w:val="32"/>
          <w:szCs w:val="32"/>
        </w:rPr>
      </w:pPr>
      <w:r>
        <w:rPr>
          <w:rFonts w:ascii="仿宋" w:eastAsia="仿宋" w:hAnsi="仿宋" w:cs="仿宋" w:hint="eastAsia"/>
          <w:sz w:val="32"/>
          <w:szCs w:val="32"/>
        </w:rPr>
        <w:t>为贯彻落实《中共中央国务院关于全面实施预算绩效管 理的意见》(中发〔2018〕34 号) 和《中共河南省委河南省 人民政府关于全面实施预算绩效管理的实施意见》(豫发〔2019〕10号)等文件精神，加强财政资金绩效管理，提高资金使用效益，</w:t>
      </w:r>
      <w:r w:rsidR="00070CCE">
        <w:rPr>
          <w:rFonts w:ascii="仿宋" w:eastAsia="仿宋" w:hAnsi="仿宋" w:cs="仿宋" w:hint="eastAsia"/>
          <w:sz w:val="32"/>
          <w:szCs w:val="32"/>
        </w:rPr>
        <w:t>平顶山高新技术产业开发区财政局</w:t>
      </w:r>
      <w:r>
        <w:rPr>
          <w:rFonts w:ascii="仿宋" w:eastAsia="仿宋" w:hAnsi="仿宋" w:cs="仿宋" w:hint="eastAsia"/>
          <w:sz w:val="32"/>
          <w:szCs w:val="32"/>
        </w:rPr>
        <w:t>委托河南知行财通绩效评价咨询有限公司组成评价组对2021</w:t>
      </w:r>
      <w:r w:rsidR="00070CCE">
        <w:rPr>
          <w:rFonts w:ascii="仿宋" w:eastAsia="仿宋" w:hAnsi="仿宋" w:cs="仿宋" w:hint="eastAsia"/>
          <w:sz w:val="32"/>
          <w:szCs w:val="32"/>
        </w:rPr>
        <w:t>年度平顶山高新技术产业开发</w:t>
      </w:r>
      <w:r>
        <w:rPr>
          <w:rFonts w:ascii="仿宋" w:eastAsia="仿宋" w:hAnsi="仿宋" w:cs="仿宋" w:hint="eastAsia"/>
          <w:sz w:val="32"/>
          <w:szCs w:val="32"/>
        </w:rPr>
        <w:t>区应急管理局部门整体支出资金进行绩效评价，现将有关情况报告如下。</w:t>
      </w:r>
    </w:p>
    <w:p w:rsidR="000D28D6" w:rsidRDefault="005E623C">
      <w:pPr>
        <w:adjustRightInd w:val="0"/>
        <w:snapToGrid w:val="0"/>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一、部门基本情况</w:t>
      </w:r>
    </w:p>
    <w:p w:rsidR="000D28D6" w:rsidRDefault="005E623C">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(一)部门概况</w:t>
      </w:r>
    </w:p>
    <w:p w:rsidR="000D28D6" w:rsidRDefault="00070CCE">
      <w:pPr>
        <w:adjustRightInd w:val="0"/>
        <w:snapToGrid w:val="0"/>
        <w:spacing w:line="600" w:lineRule="exact"/>
        <w:ind w:firstLine="640"/>
        <w:jc w:val="left"/>
        <w:rPr>
          <w:rFonts w:ascii="仿宋" w:eastAsia="仿宋" w:hAnsi="仿宋" w:cs="仿宋"/>
          <w:sz w:val="32"/>
          <w:szCs w:val="32"/>
        </w:rPr>
      </w:pPr>
      <w:r>
        <w:rPr>
          <w:rFonts w:ascii="仿宋" w:eastAsia="仿宋" w:hAnsi="仿宋" w:cs="仿宋" w:hint="eastAsia"/>
          <w:sz w:val="32"/>
          <w:szCs w:val="32"/>
        </w:rPr>
        <w:t>平顶山</w:t>
      </w:r>
      <w:r>
        <w:rPr>
          <w:rFonts w:ascii="仿宋" w:eastAsia="仿宋" w:hAnsi="仿宋" w:cs="仿宋" w:hint="eastAsia"/>
          <w:sz w:val="32"/>
          <w:szCs w:val="32"/>
        </w:rPr>
        <w:t>高新技术产业开发区应急管理局</w:t>
      </w:r>
      <w:r w:rsidR="005E623C">
        <w:rPr>
          <w:rFonts w:ascii="仿宋" w:eastAsia="仿宋" w:hAnsi="仿宋" w:cs="仿宋"/>
          <w:sz w:val="32"/>
          <w:szCs w:val="32"/>
        </w:rPr>
        <w:t>主要职责是：</w:t>
      </w:r>
      <w:r w:rsidRPr="00070CCE">
        <w:rPr>
          <w:rFonts w:ascii="仿宋" w:eastAsia="仿宋" w:hAnsi="仿宋" w:cs="仿宋"/>
          <w:sz w:val="32"/>
          <w:szCs w:val="32"/>
        </w:rPr>
        <w:t>负责辖区应急管理预案设置、应急演练以及应急值班工作；负责辖区救助体系建设工作；负责辖区灾害防治、救灾调度工作；负责辖区生产安全事故调查工作；负责辖区安全生产法规管理工作。负责职业卫生监督工作；负责工矿、商贸行业安全生产监督工作；负责辖区企业安全生产宣传培训工作； 负责辖区危化品监管工作。负责辖区生产经营单位安全生产 执法检查工作；负责辖区生产安全事故调查工作</w:t>
      </w:r>
      <w:r w:rsidRPr="00070CCE">
        <w:rPr>
          <w:rFonts w:ascii="仿宋" w:eastAsia="仿宋" w:hAnsi="仿宋" w:cs="仿宋"/>
          <w:sz w:val="32"/>
          <w:szCs w:val="32"/>
        </w:rPr>
        <w:t>。</w:t>
      </w:r>
    </w:p>
    <w:p w:rsidR="000D28D6" w:rsidRDefault="005E623C">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(二)部门预算、决算情况</w:t>
      </w:r>
    </w:p>
    <w:p w:rsidR="000D28D6" w:rsidRDefault="005E623C">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1.预算情况</w:t>
      </w:r>
    </w:p>
    <w:p w:rsidR="000D28D6" w:rsidRDefault="005E623C">
      <w:pPr>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2021年度预算收入为</w:t>
      </w:r>
      <w:r w:rsidR="00070CCE">
        <w:rPr>
          <w:rFonts w:ascii="仿宋" w:eastAsia="仿宋" w:hAnsi="仿宋" w:cs="仿宋" w:hint="eastAsia"/>
          <w:sz w:val="32"/>
          <w:szCs w:val="32"/>
        </w:rPr>
        <w:t>318.95</w:t>
      </w:r>
      <w:r>
        <w:rPr>
          <w:rFonts w:ascii="仿宋" w:eastAsia="仿宋" w:hAnsi="仿宋" w:cs="仿宋" w:hint="eastAsia"/>
          <w:sz w:val="32"/>
          <w:szCs w:val="32"/>
        </w:rPr>
        <w:t>万元，其中一般公共预算</w:t>
      </w:r>
      <w:r w:rsidR="00070CCE">
        <w:rPr>
          <w:rFonts w:ascii="仿宋" w:eastAsia="仿宋" w:hAnsi="仿宋" w:cs="仿宋" w:hint="eastAsia"/>
          <w:sz w:val="32"/>
          <w:szCs w:val="32"/>
        </w:rPr>
        <w:t>318.95万元</w:t>
      </w:r>
      <w:r>
        <w:rPr>
          <w:rFonts w:ascii="仿宋" w:eastAsia="仿宋" w:hAnsi="仿宋" w:cs="仿宋" w:hint="eastAsia"/>
          <w:sz w:val="32"/>
          <w:szCs w:val="32"/>
        </w:rPr>
        <w:t>。</w:t>
      </w:r>
    </w:p>
    <w:p w:rsidR="00070CCE" w:rsidRDefault="005E623C">
      <w:pPr>
        <w:adjustRightInd w:val="0"/>
        <w:snapToGrid w:val="0"/>
        <w:spacing w:line="600" w:lineRule="exact"/>
        <w:ind w:firstLine="640"/>
        <w:jc w:val="left"/>
        <w:rPr>
          <w:rFonts w:ascii="仿宋" w:eastAsia="仿宋" w:hAnsi="仿宋" w:cs="仿宋" w:hint="eastAsia"/>
          <w:sz w:val="32"/>
          <w:szCs w:val="32"/>
        </w:rPr>
      </w:pPr>
      <w:r>
        <w:rPr>
          <w:rFonts w:ascii="仿宋" w:eastAsia="仿宋" w:hAnsi="仿宋" w:cs="仿宋" w:hint="eastAsia"/>
          <w:sz w:val="32"/>
          <w:szCs w:val="32"/>
        </w:rPr>
        <w:t>2021年预算支出</w:t>
      </w:r>
      <w:r w:rsidR="00070CCE">
        <w:rPr>
          <w:rFonts w:ascii="仿宋" w:eastAsia="仿宋" w:hAnsi="仿宋" w:cs="仿宋" w:hint="eastAsia"/>
          <w:sz w:val="32"/>
          <w:szCs w:val="32"/>
        </w:rPr>
        <w:t>352.67万元。</w:t>
      </w:r>
    </w:p>
    <w:p w:rsidR="000D28D6" w:rsidRDefault="00070CCE">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 xml:space="preserve"> </w:t>
      </w:r>
      <w:r w:rsidR="005E623C">
        <w:rPr>
          <w:rFonts w:ascii="仿宋" w:eastAsia="仿宋" w:hAnsi="仿宋" w:cs="仿宋"/>
          <w:sz w:val="32"/>
          <w:szCs w:val="32"/>
        </w:rPr>
        <w:t>2.决算情况</w:t>
      </w:r>
    </w:p>
    <w:p w:rsidR="000D28D6" w:rsidRDefault="005E623C">
      <w:pPr>
        <w:spacing w:line="600" w:lineRule="exact"/>
        <w:ind w:firstLine="640"/>
        <w:rPr>
          <w:rFonts w:ascii="仿宋" w:eastAsia="仿宋" w:hAnsi="仿宋" w:cs="仿宋"/>
          <w:sz w:val="32"/>
          <w:szCs w:val="32"/>
        </w:rPr>
      </w:pPr>
      <w:r>
        <w:rPr>
          <w:rFonts w:ascii="仿宋" w:eastAsia="仿宋" w:hAnsi="仿宋" w:cs="仿宋" w:hint="eastAsia"/>
          <w:sz w:val="32"/>
          <w:szCs w:val="32"/>
        </w:rPr>
        <w:t>2021年决算收入为</w:t>
      </w:r>
      <w:r w:rsidR="00070CCE">
        <w:rPr>
          <w:rFonts w:ascii="仿宋" w:eastAsia="仿宋" w:hAnsi="仿宋" w:cs="仿宋" w:hint="eastAsia"/>
          <w:sz w:val="32"/>
          <w:szCs w:val="32"/>
        </w:rPr>
        <w:t>352.67</w:t>
      </w:r>
      <w:r>
        <w:rPr>
          <w:rFonts w:ascii="仿宋" w:eastAsia="仿宋" w:hAnsi="仿宋" w:cs="仿宋" w:hint="eastAsia"/>
          <w:sz w:val="32"/>
          <w:szCs w:val="32"/>
        </w:rPr>
        <w:t>万元，其中一般公共预算</w:t>
      </w:r>
      <w:r w:rsidR="00070CCE">
        <w:rPr>
          <w:rFonts w:ascii="仿宋" w:eastAsia="仿宋" w:hAnsi="仿宋" w:cs="仿宋" w:hint="eastAsia"/>
          <w:sz w:val="32"/>
          <w:szCs w:val="32"/>
        </w:rPr>
        <w:t>352.67万元</w:t>
      </w:r>
      <w:r>
        <w:rPr>
          <w:rFonts w:ascii="仿宋" w:eastAsia="仿宋" w:hAnsi="仿宋" w:cs="仿宋" w:hint="eastAsia"/>
          <w:sz w:val="32"/>
          <w:szCs w:val="32"/>
        </w:rPr>
        <w:t>。</w:t>
      </w:r>
    </w:p>
    <w:p w:rsidR="000D28D6" w:rsidRDefault="005E623C" w:rsidP="00070CCE">
      <w:pPr>
        <w:adjustRightInd w:val="0"/>
        <w:snapToGrid w:val="0"/>
        <w:spacing w:line="600" w:lineRule="exact"/>
        <w:ind w:firstLine="640"/>
        <w:jc w:val="left"/>
        <w:rPr>
          <w:rFonts w:ascii="仿宋" w:eastAsia="仿宋" w:hAnsi="仿宋" w:cs="仿宋"/>
          <w:sz w:val="32"/>
          <w:szCs w:val="32"/>
        </w:rPr>
      </w:pPr>
      <w:r>
        <w:rPr>
          <w:rFonts w:ascii="仿宋" w:eastAsia="仿宋" w:hAnsi="仿宋" w:cs="仿宋" w:hint="eastAsia"/>
          <w:sz w:val="32"/>
          <w:szCs w:val="32"/>
        </w:rPr>
        <w:t>2021年决算支出为</w:t>
      </w:r>
      <w:r w:rsidR="00070CCE">
        <w:rPr>
          <w:rFonts w:ascii="仿宋" w:eastAsia="仿宋" w:hAnsi="仿宋" w:cs="仿宋" w:hint="eastAsia"/>
          <w:sz w:val="32"/>
          <w:szCs w:val="32"/>
        </w:rPr>
        <w:t>352.67</w:t>
      </w:r>
      <w:r>
        <w:rPr>
          <w:rFonts w:ascii="仿宋" w:eastAsia="仿宋" w:hAnsi="仿宋" w:cs="仿宋" w:hint="eastAsia"/>
          <w:sz w:val="32"/>
          <w:szCs w:val="32"/>
        </w:rPr>
        <w:t>万元，完成年初预算的</w:t>
      </w:r>
      <w:r w:rsidR="00070CCE">
        <w:rPr>
          <w:rFonts w:ascii="仿宋" w:eastAsia="仿宋" w:hAnsi="仿宋" w:cs="仿宋" w:hint="eastAsia"/>
          <w:sz w:val="32"/>
          <w:szCs w:val="32"/>
        </w:rPr>
        <w:t>110.57</w:t>
      </w:r>
      <w:r>
        <w:rPr>
          <w:rFonts w:ascii="仿宋" w:eastAsia="仿宋" w:hAnsi="仿宋" w:cs="仿宋" w:hint="eastAsia"/>
          <w:sz w:val="32"/>
          <w:szCs w:val="32"/>
        </w:rPr>
        <w:t>%</w:t>
      </w:r>
      <w:r w:rsidR="00070CCE">
        <w:rPr>
          <w:rFonts w:ascii="仿宋" w:eastAsia="仿宋" w:hAnsi="仿宋" w:cs="仿宋" w:hint="eastAsia"/>
          <w:sz w:val="32"/>
          <w:szCs w:val="32"/>
        </w:rPr>
        <w:t>，</w:t>
      </w:r>
      <w:r w:rsidR="00070CCE" w:rsidRPr="00070CCE">
        <w:rPr>
          <w:rFonts w:ascii="仿宋" w:eastAsia="仿宋" w:hAnsi="仿宋" w:cs="仿宋"/>
          <w:sz w:val="32"/>
          <w:szCs w:val="32"/>
        </w:rPr>
        <w:t xml:space="preserve">主要用于以下方面：社会保障和就业（类）支出 13.81 </w:t>
      </w:r>
      <w:r w:rsidR="00070CCE">
        <w:rPr>
          <w:rFonts w:ascii="仿宋" w:eastAsia="仿宋" w:hAnsi="仿宋" w:cs="仿宋"/>
          <w:sz w:val="32"/>
          <w:szCs w:val="32"/>
        </w:rPr>
        <w:t>万元，</w:t>
      </w:r>
      <w:r w:rsidR="00070CCE" w:rsidRPr="00070CCE">
        <w:rPr>
          <w:rFonts w:ascii="仿宋" w:eastAsia="仿宋" w:hAnsi="仿宋" w:cs="仿宋"/>
          <w:sz w:val="32"/>
          <w:szCs w:val="32"/>
        </w:rPr>
        <w:t>占 3.91%；卫生健康（类）支出 6.12 万元，占 1.74%；住房 保障（类）支出 9.87 万元，占 2.80%；灾害防治及应急管理 （类）支出 322.87</w:t>
      </w:r>
      <w:r w:rsidR="00070CCE">
        <w:rPr>
          <w:rFonts w:ascii="仿宋" w:eastAsia="仿宋" w:hAnsi="仿宋" w:cs="仿宋"/>
          <w:sz w:val="32"/>
          <w:szCs w:val="32"/>
        </w:rPr>
        <w:t>。</w:t>
      </w:r>
    </w:p>
    <w:p w:rsidR="000D28D6" w:rsidRDefault="005E623C">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(三)部门年度重点工作任务</w:t>
      </w:r>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（1）加强应急管理工作，指导应对安全生产类、自然灾害类等突发事件和综合防灾减灾救灾。 </w:t>
      </w:r>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（2）深入工矿商贸行业、危险化学品行业安全生产监督管理工作，开展隐患排查工作专项治理。</w:t>
      </w:r>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（3）编制区总体应急预案和安全生产、自然灾害专项预案。</w:t>
      </w:r>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（4）开展安全生产、应急管理新闻宣传，安全生产宣传教育和培训工作。</w:t>
      </w:r>
    </w:p>
    <w:p w:rsidR="000D28D6" w:rsidRDefault="005E623C">
      <w:pPr>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（5）加强监测预警，应急管理安全生产网格化管理及信息化建设。</w:t>
      </w:r>
    </w:p>
    <w:p w:rsidR="000D28D6" w:rsidRDefault="005E623C">
      <w:pPr>
        <w:adjustRightInd w:val="0"/>
        <w:snapToGrid w:val="0"/>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二、绩效评价工作开展情况</w:t>
      </w:r>
    </w:p>
    <w:p w:rsidR="000D28D6" w:rsidRDefault="005E623C">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lastRenderedPageBreak/>
        <w:t>(一)绩效评价目的、对象和范围</w:t>
      </w:r>
    </w:p>
    <w:p w:rsidR="000D28D6" w:rsidRDefault="005E623C">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本次评价目的是了解财政资金使用情况和取得的效果，提高财政资源配置效率和使用效益。通过对</w:t>
      </w:r>
      <w:r>
        <w:rPr>
          <w:rFonts w:ascii="仿宋" w:eastAsia="仿宋" w:hAnsi="仿宋" w:cs="仿宋" w:hint="eastAsia"/>
          <w:sz w:val="32"/>
          <w:szCs w:val="32"/>
        </w:rPr>
        <w:t>应急管理局</w:t>
      </w:r>
      <w:r>
        <w:rPr>
          <w:rFonts w:ascii="仿宋" w:eastAsia="仿宋" w:hAnsi="仿宋" w:cs="仿宋"/>
          <w:sz w:val="32"/>
          <w:szCs w:val="32"/>
        </w:rPr>
        <w:t>2021年度</w:t>
      </w:r>
      <w:r>
        <w:rPr>
          <w:rFonts w:ascii="仿宋" w:eastAsia="仿宋" w:hAnsi="仿宋" w:cs="仿宋" w:hint="eastAsia"/>
          <w:sz w:val="32"/>
          <w:szCs w:val="32"/>
        </w:rPr>
        <w:t>部门整体支出</w:t>
      </w:r>
      <w:r>
        <w:rPr>
          <w:rFonts w:ascii="仿宋" w:eastAsia="仿宋" w:hAnsi="仿宋" w:cs="仿宋"/>
          <w:sz w:val="32"/>
          <w:szCs w:val="32"/>
        </w:rPr>
        <w:t>中项目决策、项目管理、</w:t>
      </w:r>
      <w:r>
        <w:rPr>
          <w:rFonts w:ascii="仿宋" w:eastAsia="仿宋" w:hAnsi="仿宋" w:cs="仿宋" w:hint="eastAsia"/>
          <w:sz w:val="32"/>
          <w:szCs w:val="32"/>
        </w:rPr>
        <w:t>履职效能、运行成本</w:t>
      </w:r>
      <w:r>
        <w:rPr>
          <w:rFonts w:ascii="仿宋" w:eastAsia="仿宋" w:hAnsi="仿宋" w:cs="仿宋"/>
          <w:sz w:val="32"/>
          <w:szCs w:val="32"/>
        </w:rPr>
        <w:t>、</w:t>
      </w:r>
      <w:r>
        <w:rPr>
          <w:rFonts w:ascii="仿宋" w:eastAsia="仿宋" w:hAnsi="仿宋" w:cs="仿宋" w:hint="eastAsia"/>
          <w:sz w:val="32"/>
          <w:szCs w:val="32"/>
        </w:rPr>
        <w:t>社会</w:t>
      </w:r>
      <w:r>
        <w:rPr>
          <w:rFonts w:ascii="仿宋" w:eastAsia="仿宋" w:hAnsi="仿宋" w:cs="仿宋"/>
          <w:sz w:val="32"/>
          <w:szCs w:val="32"/>
        </w:rPr>
        <w:t>效益</w:t>
      </w:r>
      <w:r>
        <w:rPr>
          <w:rFonts w:ascii="仿宋" w:eastAsia="仿宋" w:hAnsi="仿宋" w:cs="仿宋" w:hint="eastAsia"/>
          <w:sz w:val="32"/>
          <w:szCs w:val="32"/>
        </w:rPr>
        <w:t>、可持续性发展能力</w:t>
      </w:r>
      <w:r>
        <w:rPr>
          <w:rFonts w:ascii="仿宋" w:eastAsia="仿宋" w:hAnsi="仿宋" w:cs="仿宋"/>
          <w:sz w:val="32"/>
          <w:szCs w:val="32"/>
        </w:rPr>
        <w:t>等情况进行评价</w:t>
      </w:r>
      <w:r>
        <w:rPr>
          <w:rFonts w:ascii="仿宋" w:eastAsia="仿宋" w:hAnsi="仿宋" w:cs="仿宋" w:hint="eastAsia"/>
          <w:sz w:val="32"/>
          <w:szCs w:val="32"/>
        </w:rPr>
        <w:t>，</w:t>
      </w:r>
      <w:r>
        <w:rPr>
          <w:rFonts w:ascii="仿宋" w:eastAsia="仿宋" w:hAnsi="仿宋" w:cs="仿宋"/>
          <w:sz w:val="32"/>
          <w:szCs w:val="32"/>
        </w:rPr>
        <w:t>促使项目主管部门、实施单位根据绩效评价中发现的问题，及时调整和完善工作计划和绩效目标，为后续资金投入、分配和管理提供决策依据。</w:t>
      </w:r>
    </w:p>
    <w:p w:rsidR="000D28D6" w:rsidRDefault="005E623C">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(二)绩效评价原则、方法和标准及指标体系</w:t>
      </w:r>
    </w:p>
    <w:p w:rsidR="000D28D6" w:rsidRDefault="005E623C">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本次绩效评价原则：坚持真实、科学、公正的原则；坚 持综合绩效评价的原则；坚持定量分析与定性分析的原则； 坚持绩效评价与项目支出管理相结合的原则。本次采取比较法、因素分析法、公众评判法相结合的评价方法开展评价工作。采取计划标准、行业标准和历史标准相结合的评价标准开展评价工作，衡量财政支出绩效目标完成程度。</w:t>
      </w:r>
    </w:p>
    <w:p w:rsidR="000D28D6" w:rsidRDefault="005E623C">
      <w:pPr>
        <w:adjustRightInd w:val="0"/>
        <w:snapToGrid w:val="0"/>
        <w:spacing w:line="600" w:lineRule="exact"/>
        <w:ind w:firstLine="640"/>
        <w:jc w:val="left"/>
        <w:rPr>
          <w:rFonts w:ascii="仿宋" w:eastAsia="仿宋" w:hAnsi="仿宋" w:cs="仿宋"/>
          <w:color w:val="000000" w:themeColor="text1"/>
          <w:kern w:val="0"/>
          <w:sz w:val="32"/>
          <w:szCs w:val="32"/>
        </w:rPr>
      </w:pPr>
      <w:r>
        <w:rPr>
          <w:rFonts w:ascii="仿宋" w:eastAsia="仿宋" w:hAnsi="仿宋" w:cs="仿宋"/>
          <w:sz w:val="32"/>
          <w:szCs w:val="32"/>
        </w:rPr>
        <w:t>本次评价指标体系根据</w:t>
      </w:r>
      <w:r>
        <w:rPr>
          <w:rFonts w:ascii="仿宋" w:eastAsia="仿宋" w:hAnsi="仿宋" w:cs="仿宋" w:hint="eastAsia"/>
          <w:sz w:val="32"/>
          <w:szCs w:val="32"/>
          <w:lang w:val="zh-CN"/>
        </w:rPr>
        <w:t>财政局《关于开展202</w:t>
      </w:r>
      <w:r>
        <w:rPr>
          <w:rFonts w:ascii="仿宋" w:eastAsia="仿宋" w:hAnsi="仿宋" w:cs="仿宋" w:hint="eastAsia"/>
          <w:sz w:val="32"/>
          <w:szCs w:val="32"/>
        </w:rPr>
        <w:t>2</w:t>
      </w:r>
      <w:r>
        <w:rPr>
          <w:rFonts w:ascii="仿宋" w:eastAsia="仿宋" w:hAnsi="仿宋" w:cs="仿宋" w:hint="eastAsia"/>
          <w:sz w:val="32"/>
          <w:szCs w:val="32"/>
          <w:lang w:val="zh-CN"/>
        </w:rPr>
        <w:t>年度</w:t>
      </w:r>
      <w:r>
        <w:rPr>
          <w:rFonts w:ascii="仿宋" w:eastAsia="仿宋" w:hAnsi="仿宋" w:cs="仿宋" w:hint="eastAsia"/>
          <w:sz w:val="32"/>
          <w:szCs w:val="32"/>
        </w:rPr>
        <w:t>重点项目及部门整体绩效评价工作</w:t>
      </w:r>
      <w:r>
        <w:rPr>
          <w:rFonts w:ascii="仿宋" w:eastAsia="仿宋" w:hAnsi="仿宋" w:cs="仿宋" w:hint="eastAsia"/>
          <w:sz w:val="32"/>
          <w:szCs w:val="32"/>
          <w:lang w:val="zh-CN"/>
        </w:rPr>
        <w:t>的通知》</w:t>
      </w:r>
      <w:r>
        <w:rPr>
          <w:rFonts w:ascii="仿宋" w:eastAsia="仿宋" w:hAnsi="仿宋" w:cs="仿宋"/>
          <w:sz w:val="32"/>
          <w:szCs w:val="32"/>
        </w:rPr>
        <w:t>，本项目绩效评价指标体系共设置</w:t>
      </w:r>
      <w:r>
        <w:rPr>
          <w:rFonts w:ascii="仿宋" w:eastAsia="仿宋" w:hAnsi="仿宋" w:cs="仿宋" w:hint="eastAsia"/>
          <w:color w:val="000000" w:themeColor="text1"/>
          <w:sz w:val="32"/>
          <w:szCs w:val="32"/>
        </w:rPr>
        <w:t>一级指标6个，二级指标17个，三级指标47个，指标权重自上而下按指标层次分步确定权重，决策指标、管理指标、履职效能指标、运行成本指标、社会效益指标、可持续性发展能力指标</w:t>
      </w:r>
      <w:r>
        <w:rPr>
          <w:rFonts w:ascii="仿宋" w:eastAsia="仿宋" w:hAnsi="仿宋" w:cs="仿宋" w:hint="eastAsia"/>
          <w:color w:val="000000" w:themeColor="text1"/>
          <w:kern w:val="0"/>
          <w:sz w:val="32"/>
          <w:szCs w:val="32"/>
        </w:rPr>
        <w:t>分值依次为10分、30分、30分、10分、15分、5分。</w:t>
      </w:r>
    </w:p>
    <w:p w:rsidR="000D28D6" w:rsidRDefault="005E623C">
      <w:pPr>
        <w:adjustRightInd w:val="0"/>
        <w:snapToGrid w:val="0"/>
        <w:spacing w:line="600" w:lineRule="exact"/>
        <w:ind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(三)绩效评价工作过程</w:t>
      </w:r>
    </w:p>
    <w:p w:rsidR="000D28D6" w:rsidRDefault="005E623C">
      <w:pPr>
        <w:adjustRightInd w:val="0"/>
        <w:snapToGrid w:val="0"/>
        <w:spacing w:line="600" w:lineRule="exact"/>
        <w:ind w:firstLine="640"/>
        <w:jc w:val="left"/>
        <w:rPr>
          <w:rFonts w:ascii="仿宋" w:eastAsia="仿宋" w:hAnsi="仿宋" w:cs="仿宋"/>
          <w:color w:val="000000" w:themeColor="text1"/>
          <w:kern w:val="0"/>
          <w:sz w:val="32"/>
          <w:szCs w:val="32"/>
        </w:rPr>
      </w:pPr>
      <w:r>
        <w:rPr>
          <w:rFonts w:ascii="仿宋" w:eastAsia="仿宋" w:hAnsi="仿宋" w:cs="仿宋"/>
          <w:color w:val="000000" w:themeColor="text1"/>
          <w:kern w:val="0"/>
          <w:sz w:val="32"/>
          <w:szCs w:val="32"/>
        </w:rPr>
        <w:lastRenderedPageBreak/>
        <w:t>本次绩效评价工作开展以来历经前期准备、指标体系及 方案设计、实地调研、数据整理、评价实施、报告撰写等阶段。在此基础上，按要求形成初步评价报告，并根据相关部门、专家意见进行修改完善，形成最终绩效评价报告。</w:t>
      </w:r>
    </w:p>
    <w:p w:rsidR="000D28D6" w:rsidRDefault="005E623C">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三、综合评价情况及评价结论</w:t>
      </w:r>
    </w:p>
    <w:p w:rsidR="000D28D6" w:rsidRDefault="005E623C">
      <w:pPr>
        <w:adjustRightInd w:val="0"/>
        <w:snapToGrid w:val="0"/>
        <w:spacing w:line="60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w:t>
      </w:r>
      <w:r>
        <w:rPr>
          <w:rFonts w:ascii="楷体" w:eastAsia="楷体" w:hAnsi="楷体" w:cs="楷体" w:hint="eastAsia"/>
          <w:color w:val="000000" w:themeColor="text1"/>
          <w:kern w:val="0"/>
          <w:sz w:val="32"/>
          <w:szCs w:val="32"/>
        </w:rPr>
        <w:t>(一)综合评价情况</w:t>
      </w:r>
    </w:p>
    <w:p w:rsidR="000D28D6" w:rsidRDefault="005E623C">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整体来看，</w:t>
      </w:r>
      <w:r>
        <w:rPr>
          <w:rFonts w:ascii="仿宋" w:eastAsia="仿宋" w:hAnsi="仿宋" w:cs="仿宋" w:hint="eastAsia"/>
          <w:sz w:val="32"/>
          <w:szCs w:val="32"/>
        </w:rPr>
        <w:t>2021年度</w:t>
      </w:r>
      <w:r w:rsidR="00070CCE">
        <w:rPr>
          <w:rFonts w:ascii="仿宋" w:eastAsia="仿宋" w:hAnsi="仿宋" w:cs="仿宋" w:hint="eastAsia"/>
          <w:sz w:val="32"/>
          <w:szCs w:val="32"/>
        </w:rPr>
        <w:t>平顶山高新技术产业开发区应急管理局</w:t>
      </w:r>
      <w:r>
        <w:rPr>
          <w:rFonts w:ascii="仿宋" w:eastAsia="仿宋" w:hAnsi="仿宋" w:cs="仿宋" w:hint="eastAsia"/>
          <w:sz w:val="32"/>
          <w:szCs w:val="32"/>
        </w:rPr>
        <w:t>部门整体支出</w:t>
      </w:r>
      <w:r>
        <w:rPr>
          <w:rFonts w:ascii="仿宋" w:eastAsia="仿宋" w:hAnsi="仿宋" w:cs="仿宋" w:hint="eastAsia"/>
          <w:color w:val="000000" w:themeColor="text1"/>
          <w:kern w:val="0"/>
          <w:sz w:val="32"/>
          <w:szCs w:val="32"/>
        </w:rPr>
        <w:t>决策制度科学、中长期规划明确、年度工作计划明确、预算执行率高、资金使用合规、预决算信息公开及时、基础信息完善、绩效目标合理、财务管理规范、固定资产利用率高、制度执行有效等。通过2021年工作实施，</w:t>
      </w:r>
      <w:r w:rsidR="00070CCE">
        <w:rPr>
          <w:rFonts w:ascii="仿宋" w:eastAsia="仿宋" w:hAnsi="仿宋" w:cs="仿宋" w:hint="eastAsia"/>
          <w:sz w:val="32"/>
          <w:szCs w:val="32"/>
        </w:rPr>
        <w:t>平顶山高新技术产业开发区</w:t>
      </w:r>
      <w:r>
        <w:rPr>
          <w:rFonts w:ascii="仿宋" w:eastAsia="仿宋" w:hAnsi="仿宋" w:cs="仿宋" w:hint="eastAsia"/>
          <w:color w:val="000000" w:themeColor="text1"/>
          <w:kern w:val="0"/>
          <w:sz w:val="32"/>
          <w:szCs w:val="32"/>
        </w:rPr>
        <w:t>应急管理局部门整体支出提升了企业安全生产管理能力，增强了企业安全生产意识，社会效益取得良好效果。</w:t>
      </w:r>
    </w:p>
    <w:p w:rsidR="000D28D6" w:rsidRDefault="005E623C">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经过分析，部门整体支出仍存在预算管理制度不健全、 预算编制不精准、政府采购执行率低、预算绩效管理机制不健全、绩效指标不够明确、绩效监控不到位、绩效自评质量有待提高等问题。</w:t>
      </w:r>
    </w:p>
    <w:p w:rsidR="000D28D6" w:rsidRDefault="005E623C">
      <w:pPr>
        <w:adjustRightInd w:val="0"/>
        <w:snapToGrid w:val="0"/>
        <w:spacing w:line="600" w:lineRule="exact"/>
        <w:ind w:firstLineChars="200"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(二)评价结论</w:t>
      </w:r>
    </w:p>
    <w:p w:rsidR="000D28D6" w:rsidRDefault="005E623C">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依据2021年度平顶山</w:t>
      </w:r>
      <w:r w:rsidR="00070CCE">
        <w:rPr>
          <w:rFonts w:ascii="仿宋" w:eastAsia="仿宋" w:hAnsi="仿宋" w:cs="仿宋" w:hint="eastAsia"/>
          <w:sz w:val="32"/>
          <w:szCs w:val="32"/>
        </w:rPr>
        <w:t>高新技术产业开发区</w:t>
      </w:r>
      <w:r>
        <w:rPr>
          <w:rFonts w:ascii="仿宋" w:eastAsia="仿宋" w:hAnsi="仿宋" w:cs="仿宋" w:hint="eastAsia"/>
          <w:color w:val="000000" w:themeColor="text1"/>
          <w:kern w:val="0"/>
          <w:sz w:val="32"/>
          <w:szCs w:val="32"/>
        </w:rPr>
        <w:t>应急管理局部门整体支出绩效评价指标体系，评价组对2021年度</w:t>
      </w:r>
      <w:r w:rsidR="00070CCE">
        <w:rPr>
          <w:rFonts w:ascii="仿宋" w:eastAsia="仿宋" w:hAnsi="仿宋" w:cs="仿宋" w:hint="eastAsia"/>
          <w:sz w:val="32"/>
          <w:szCs w:val="32"/>
        </w:rPr>
        <w:t>平顶山高新技术产业开发区</w:t>
      </w:r>
      <w:r w:rsidR="00070CCE">
        <w:rPr>
          <w:rFonts w:ascii="仿宋" w:eastAsia="仿宋" w:hAnsi="仿宋" w:cs="仿宋" w:hint="eastAsia"/>
          <w:sz w:val="32"/>
          <w:szCs w:val="32"/>
        </w:rPr>
        <w:t>应急管理局</w:t>
      </w:r>
      <w:r>
        <w:rPr>
          <w:rFonts w:ascii="仿宋" w:eastAsia="仿宋" w:hAnsi="仿宋" w:cs="仿宋" w:hint="eastAsia"/>
          <w:color w:val="000000" w:themeColor="text1"/>
          <w:kern w:val="0"/>
          <w:sz w:val="32"/>
          <w:szCs w:val="32"/>
        </w:rPr>
        <w:t>部门整体支出进行打分，最终得分为</w:t>
      </w:r>
      <w:r>
        <w:rPr>
          <w:rFonts w:ascii="仿宋" w:eastAsia="仿宋" w:hAnsi="仿宋" w:cs="仿宋" w:hint="eastAsia"/>
          <w:color w:val="000000" w:themeColor="text1"/>
          <w:kern w:val="0"/>
          <w:sz w:val="32"/>
          <w:szCs w:val="32"/>
          <w:u w:val="single"/>
        </w:rPr>
        <w:t>88.85</w:t>
      </w:r>
      <w:r>
        <w:rPr>
          <w:rFonts w:ascii="仿宋" w:eastAsia="仿宋" w:hAnsi="仿宋" w:cs="仿宋" w:hint="eastAsia"/>
          <w:color w:val="000000" w:themeColor="text1"/>
          <w:kern w:val="0"/>
          <w:sz w:val="32"/>
          <w:szCs w:val="32"/>
        </w:rPr>
        <w:t>分。</w:t>
      </w:r>
      <w:r w:rsidR="009C236C">
        <w:rPr>
          <w:rFonts w:ascii="仿宋" w:eastAsia="仿宋" w:hAnsi="仿宋" w:cs="仿宋" w:hint="eastAsia"/>
          <w:color w:val="000000" w:themeColor="text1"/>
          <w:kern w:val="0"/>
          <w:sz w:val="32"/>
          <w:szCs w:val="32"/>
        </w:rPr>
        <w:t>参照</w:t>
      </w:r>
      <w:r w:rsidR="009C236C">
        <w:rPr>
          <w:rFonts w:ascii="仿宋" w:eastAsia="仿宋" w:hAnsi="仿宋" w:cs="仿宋" w:hint="eastAsia"/>
          <w:sz w:val="32"/>
          <w:szCs w:val="32"/>
          <w:lang w:val="zh-CN"/>
        </w:rPr>
        <w:t>《关于印发平顶山市市级预算绩</w:t>
      </w:r>
      <w:r w:rsidR="009C236C">
        <w:rPr>
          <w:rFonts w:ascii="仿宋" w:eastAsia="仿宋" w:hAnsi="仿宋" w:cs="仿宋" w:hint="eastAsia"/>
          <w:sz w:val="32"/>
          <w:szCs w:val="32"/>
          <w:lang w:val="zh-CN"/>
        </w:rPr>
        <w:lastRenderedPageBreak/>
        <w:t>效管理办法》等6个办法的通知</w:t>
      </w:r>
      <w:r w:rsidR="009C236C">
        <w:rPr>
          <w:rFonts w:ascii="仿宋" w:eastAsia="仿宋" w:hAnsi="仿宋" w:cs="仿宋" w:hint="eastAsia"/>
          <w:color w:val="000000" w:themeColor="text1"/>
          <w:kern w:val="0"/>
          <w:sz w:val="32"/>
          <w:szCs w:val="32"/>
        </w:rPr>
        <w:t>有关规定</w:t>
      </w:r>
      <w:r>
        <w:rPr>
          <w:rFonts w:ascii="仿宋" w:eastAsia="仿宋" w:hAnsi="仿宋" w:cs="仿宋" w:hint="eastAsia"/>
          <w:color w:val="000000" w:themeColor="text1"/>
          <w:kern w:val="0"/>
          <w:sz w:val="32"/>
          <w:szCs w:val="32"/>
        </w:rPr>
        <w:t>，绩效评价结果</w:t>
      </w:r>
      <w:bookmarkStart w:id="0" w:name="_GoBack"/>
      <w:bookmarkEnd w:id="0"/>
      <w:r>
        <w:rPr>
          <w:rFonts w:ascii="仿宋" w:eastAsia="仿宋" w:hAnsi="仿宋" w:cs="仿宋" w:hint="eastAsia"/>
          <w:color w:val="000000" w:themeColor="text1"/>
          <w:kern w:val="0"/>
          <w:sz w:val="32"/>
          <w:szCs w:val="32"/>
        </w:rPr>
        <w:t>等级为“</w:t>
      </w:r>
      <w:r>
        <w:rPr>
          <w:rFonts w:ascii="仿宋" w:eastAsia="仿宋" w:hAnsi="仿宋" w:cs="仿宋" w:hint="eastAsia"/>
          <w:color w:val="000000" w:themeColor="text1"/>
          <w:kern w:val="0"/>
          <w:sz w:val="32"/>
          <w:szCs w:val="32"/>
          <w:u w:val="single"/>
        </w:rPr>
        <w:t>良</w:t>
      </w:r>
      <w:r>
        <w:rPr>
          <w:rFonts w:ascii="仿宋" w:eastAsia="仿宋" w:hAnsi="仿宋" w:cs="仿宋" w:hint="eastAsia"/>
          <w:color w:val="000000" w:themeColor="text1"/>
          <w:kern w:val="0"/>
          <w:sz w:val="32"/>
          <w:szCs w:val="32"/>
        </w:rPr>
        <w:t>”。</w:t>
      </w:r>
    </w:p>
    <w:tbl>
      <w:tblPr>
        <w:tblpPr w:leftFromText="180" w:rightFromText="180" w:vertAnchor="text" w:horzAnchor="page" w:tblpX="1945" w:tblpY="38"/>
        <w:tblOverlap w:val="never"/>
        <w:tblW w:w="8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5"/>
        <w:gridCol w:w="1080"/>
        <w:gridCol w:w="1065"/>
        <w:gridCol w:w="1050"/>
        <w:gridCol w:w="1005"/>
        <w:gridCol w:w="975"/>
        <w:gridCol w:w="1245"/>
        <w:gridCol w:w="1020"/>
      </w:tblGrid>
      <w:tr w:rsidR="000D28D6">
        <w:trPr>
          <w:trHeight w:val="747"/>
        </w:trPr>
        <w:tc>
          <w:tcPr>
            <w:tcW w:w="8355" w:type="dxa"/>
            <w:gridSpan w:val="8"/>
            <w:noWrap/>
            <w:vAlign w:val="center"/>
          </w:tcPr>
          <w:p w:rsidR="000D28D6" w:rsidRDefault="005E623C">
            <w:pPr>
              <w:widowControl/>
              <w:spacing w:line="500" w:lineRule="exact"/>
              <w:jc w:val="center"/>
              <w:rPr>
                <w:rFonts w:ascii="仿宋" w:eastAsia="仿宋" w:hAnsi="仿宋" w:cs="仿宋"/>
                <w:color w:val="000000"/>
                <w:kern w:val="0"/>
                <w:sz w:val="24"/>
              </w:rPr>
            </w:pPr>
            <w:r>
              <w:rPr>
                <w:rFonts w:ascii="黑体" w:eastAsia="黑体" w:hAnsi="黑体" w:cs="黑体" w:hint="eastAsia"/>
                <w:sz w:val="24"/>
              </w:rPr>
              <w:t>2021年度平顶山</w:t>
            </w:r>
            <w:r w:rsidR="00210EE1">
              <w:rPr>
                <w:rFonts w:ascii="黑体" w:eastAsia="黑体" w:hAnsi="黑体" w:cs="黑体" w:hint="eastAsia"/>
                <w:sz w:val="24"/>
              </w:rPr>
              <w:t>高新技术产业开发区</w:t>
            </w:r>
            <w:r>
              <w:rPr>
                <w:rFonts w:ascii="黑体" w:eastAsia="黑体" w:hAnsi="黑体" w:cs="黑体" w:hint="eastAsia"/>
                <w:sz w:val="24"/>
              </w:rPr>
              <w:t>应急管理局部门整体支出</w:t>
            </w:r>
            <w:r w:rsidR="00210EE1">
              <w:rPr>
                <w:rFonts w:ascii="黑体" w:eastAsia="黑体" w:hAnsi="黑体" w:cs="黑体" w:hint="eastAsia"/>
                <w:color w:val="000000"/>
                <w:kern w:val="0"/>
                <w:sz w:val="24"/>
              </w:rPr>
              <w:t>绩效评价得分</w:t>
            </w:r>
          </w:p>
        </w:tc>
      </w:tr>
      <w:tr w:rsidR="000D28D6">
        <w:trPr>
          <w:trHeight w:val="639"/>
        </w:trPr>
        <w:tc>
          <w:tcPr>
            <w:tcW w:w="91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指标</w:t>
            </w:r>
          </w:p>
        </w:tc>
        <w:tc>
          <w:tcPr>
            <w:tcW w:w="108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部门决策</w:t>
            </w:r>
          </w:p>
        </w:tc>
        <w:tc>
          <w:tcPr>
            <w:tcW w:w="106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部门管理</w:t>
            </w:r>
          </w:p>
        </w:tc>
        <w:tc>
          <w:tcPr>
            <w:tcW w:w="105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履职效能</w:t>
            </w:r>
          </w:p>
        </w:tc>
        <w:tc>
          <w:tcPr>
            <w:tcW w:w="100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运行成本</w:t>
            </w:r>
          </w:p>
        </w:tc>
        <w:tc>
          <w:tcPr>
            <w:tcW w:w="97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社会效益</w:t>
            </w:r>
          </w:p>
        </w:tc>
        <w:tc>
          <w:tcPr>
            <w:tcW w:w="124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可持续性发展能力</w:t>
            </w:r>
          </w:p>
        </w:tc>
        <w:tc>
          <w:tcPr>
            <w:tcW w:w="102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合计</w:t>
            </w:r>
          </w:p>
        </w:tc>
      </w:tr>
      <w:tr w:rsidR="000D28D6">
        <w:trPr>
          <w:trHeight w:val="590"/>
        </w:trPr>
        <w:tc>
          <w:tcPr>
            <w:tcW w:w="91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权重</w:t>
            </w:r>
          </w:p>
        </w:tc>
        <w:tc>
          <w:tcPr>
            <w:tcW w:w="108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06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30</w:t>
            </w:r>
          </w:p>
        </w:tc>
        <w:tc>
          <w:tcPr>
            <w:tcW w:w="105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30</w:t>
            </w:r>
          </w:p>
        </w:tc>
        <w:tc>
          <w:tcPr>
            <w:tcW w:w="100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97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124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02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r>
      <w:tr w:rsidR="000D28D6">
        <w:trPr>
          <w:trHeight w:val="610"/>
        </w:trPr>
        <w:tc>
          <w:tcPr>
            <w:tcW w:w="91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得分</w:t>
            </w:r>
          </w:p>
        </w:tc>
        <w:tc>
          <w:tcPr>
            <w:tcW w:w="108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06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20.85</w:t>
            </w:r>
          </w:p>
        </w:tc>
        <w:tc>
          <w:tcPr>
            <w:tcW w:w="105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30</w:t>
            </w:r>
          </w:p>
        </w:tc>
        <w:tc>
          <w:tcPr>
            <w:tcW w:w="100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97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124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02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88.85</w:t>
            </w:r>
          </w:p>
        </w:tc>
      </w:tr>
      <w:tr w:rsidR="000D28D6">
        <w:trPr>
          <w:trHeight w:val="860"/>
        </w:trPr>
        <w:tc>
          <w:tcPr>
            <w:tcW w:w="91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得分率</w:t>
            </w:r>
          </w:p>
        </w:tc>
        <w:tc>
          <w:tcPr>
            <w:tcW w:w="108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06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69.5%</w:t>
            </w:r>
          </w:p>
        </w:tc>
        <w:tc>
          <w:tcPr>
            <w:tcW w:w="105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00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97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93.33%</w:t>
            </w:r>
          </w:p>
        </w:tc>
        <w:tc>
          <w:tcPr>
            <w:tcW w:w="1245"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80%</w:t>
            </w:r>
          </w:p>
        </w:tc>
        <w:tc>
          <w:tcPr>
            <w:tcW w:w="1020" w:type="dxa"/>
            <w:noWrap/>
            <w:vAlign w:val="center"/>
          </w:tcPr>
          <w:p w:rsidR="000D28D6" w:rsidRDefault="005E623C">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88.85%</w:t>
            </w:r>
          </w:p>
        </w:tc>
      </w:tr>
    </w:tbl>
    <w:p w:rsidR="000D28D6" w:rsidRDefault="005E623C">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四、绩效评价指标分析</w:t>
      </w:r>
    </w:p>
    <w:p w:rsidR="000D28D6" w:rsidRDefault="005E623C">
      <w:pPr>
        <w:pStyle w:val="a0"/>
        <w:adjustRightInd w:val="0"/>
        <w:snapToGrid w:val="0"/>
        <w:spacing w:after="0" w:line="600" w:lineRule="exact"/>
        <w:ind w:firstLineChars="200" w:firstLine="640"/>
        <w:rPr>
          <w:rFonts w:ascii="仿宋" w:eastAsia="仿宋" w:hAnsi="仿宋" w:cs="仿宋"/>
          <w:sz w:val="32"/>
          <w:szCs w:val="32"/>
        </w:rPr>
      </w:pPr>
      <w:r>
        <w:rPr>
          <w:rFonts w:ascii="楷体" w:eastAsia="楷体" w:hAnsi="楷体" w:cs="楷体" w:hint="eastAsia"/>
          <w:sz w:val="32"/>
          <w:szCs w:val="32"/>
        </w:rPr>
        <w:t>(一) 部门决策情况：</w:t>
      </w:r>
      <w:r>
        <w:rPr>
          <w:rFonts w:ascii="仿宋" w:eastAsia="仿宋" w:hAnsi="仿宋" w:cs="仿宋" w:hint="eastAsia"/>
          <w:sz w:val="32"/>
          <w:szCs w:val="32"/>
        </w:rPr>
        <w:t>1.决策机制指标分值3分，得3分。其中决策制度的科学性得3分。2.中长期规划分值3分，得3分。其中中长期规划明确性得1分；中长期规划与部门职能的匹配性得2分。3.年度工作计划指标分值4分，得4分，其中年度工作计划明确性得2分；年度工作计划与部门职能匹配性得2分。</w:t>
      </w:r>
    </w:p>
    <w:p w:rsidR="000D28D6" w:rsidRDefault="005E623C">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（二）部门管理情况：</w:t>
      </w:r>
      <w:r>
        <w:rPr>
          <w:rFonts w:ascii="仿宋" w:eastAsia="仿宋" w:hAnsi="仿宋" w:cs="仿宋" w:hint="eastAsia"/>
          <w:sz w:val="32"/>
          <w:szCs w:val="32"/>
        </w:rPr>
        <w:t>1.预算管理指标分值9分，得6.75分。其中预算管理制度健全性得0.25分；预算编制得0.25分；预算执行率得1分；预算调整率得0.75分；结转结余变动率得1分；政府采购执行率得0.5分；资金使用合规性得1分；预决算信息公开及时性得1分；基础信息完善性得1分。2.绩效管理指标分值8分，得3.5分。其中预算绩效管理机制得0分；绩效目标合理性得2分；绩效指标明确性得1分；绩效监控完成情况得0分；绩效自评完成情况得0.5</w:t>
      </w:r>
      <w:r>
        <w:rPr>
          <w:rFonts w:ascii="仿宋" w:eastAsia="仿宋" w:hAnsi="仿宋" w:cs="仿宋" w:hint="eastAsia"/>
          <w:sz w:val="32"/>
          <w:szCs w:val="32"/>
        </w:rPr>
        <w:lastRenderedPageBreak/>
        <w:t>分；评价结果应用情况得0分。3.财务管理指标分值5分，得4分。其中财务管理规范性得2分；支出结构合理性得2分。4.资产管理指标分值3分，得2.6分。其中资产管理规范性得1.6分；固定资产利用率得1分。5.业务管理指标分值5分，得4分。其中管理制度健全性得1分；制度执行有效性得3分。</w:t>
      </w:r>
    </w:p>
    <w:p w:rsidR="000D28D6" w:rsidRDefault="005E623C">
      <w:pPr>
        <w:pStyle w:val="a0"/>
        <w:adjustRightInd w:val="0"/>
        <w:snapToGrid w:val="0"/>
        <w:spacing w:after="0" w:line="600" w:lineRule="exact"/>
        <w:ind w:firstLineChars="200" w:firstLine="640"/>
        <w:rPr>
          <w:rFonts w:ascii="仿宋" w:eastAsia="仿宋" w:hAnsi="仿宋" w:cs="仿宋"/>
          <w:sz w:val="32"/>
          <w:szCs w:val="32"/>
        </w:rPr>
      </w:pPr>
      <w:r>
        <w:rPr>
          <w:rFonts w:ascii="楷体" w:eastAsia="楷体" w:hAnsi="楷体" w:cs="楷体" w:hint="eastAsia"/>
          <w:sz w:val="32"/>
          <w:szCs w:val="32"/>
        </w:rPr>
        <w:t>（三）履职效能情况：</w:t>
      </w:r>
      <w:r>
        <w:rPr>
          <w:rFonts w:ascii="仿宋" w:eastAsia="仿宋" w:hAnsi="仿宋" w:cs="仿宋" w:hint="eastAsia"/>
          <w:sz w:val="32"/>
          <w:szCs w:val="32"/>
        </w:rPr>
        <w:t>1.安全生产监管工作指标分值15分，得15分。其中完善应急管理体系得2.5分；特殊时期安全生产工作得2.5分；森林防灭火工作得2.5分；安全生产大检查工作得2.5分；安全生产专项整治三年行动工作得2.5分；季节性安全生产大检查和专项整治工作。2.区重点工作指标分值15分，得15分。其中全面从严治党工作得2.5分；招商引资工作得2.5分；乡村振兴工作得2.5分；万人助万企工作得2.5分；创文保卫工作得2.5分；疫情防控工作得2.5分。</w:t>
      </w:r>
    </w:p>
    <w:p w:rsidR="000D28D6" w:rsidRDefault="005E623C">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（四）运行成本情况：</w:t>
      </w:r>
      <w:r>
        <w:rPr>
          <w:rFonts w:ascii="仿宋" w:eastAsia="仿宋" w:hAnsi="仿宋" w:cs="仿宋" w:hint="eastAsia"/>
          <w:sz w:val="32"/>
          <w:szCs w:val="32"/>
        </w:rPr>
        <w:t>1.基本经费指标分值5分，得5分。其中财政供养人员控制率得2分；“三公经费”变动率得3分。2.项目经费指标分值5分，得5分。其中项目支出合规性得5分。</w:t>
      </w:r>
    </w:p>
    <w:p w:rsidR="000D28D6" w:rsidRDefault="005E623C">
      <w:pPr>
        <w:pStyle w:val="a0"/>
        <w:adjustRightInd w:val="0"/>
        <w:snapToGrid w:val="0"/>
        <w:spacing w:after="0" w:line="600" w:lineRule="exact"/>
        <w:ind w:firstLineChars="200" w:firstLine="640"/>
        <w:rPr>
          <w:rFonts w:ascii="仿宋" w:eastAsia="仿宋" w:hAnsi="仿宋" w:cs="仿宋"/>
          <w:sz w:val="32"/>
          <w:szCs w:val="32"/>
        </w:rPr>
      </w:pPr>
      <w:r>
        <w:rPr>
          <w:rFonts w:ascii="楷体" w:eastAsia="楷体" w:hAnsi="楷体" w:cs="楷体" w:hint="eastAsia"/>
          <w:sz w:val="32"/>
          <w:szCs w:val="32"/>
        </w:rPr>
        <w:t>（五）社会效益情况：</w:t>
      </w:r>
      <w:r>
        <w:rPr>
          <w:rFonts w:ascii="仿宋" w:eastAsia="仿宋" w:hAnsi="仿宋" w:cs="仿宋" w:hint="eastAsia"/>
          <w:sz w:val="32"/>
          <w:szCs w:val="32"/>
        </w:rPr>
        <w:t>1.社会效益指标分值10分，得9分。其中提升企业安全生产管理能力得5分；增强企业安全生产意识得4分。2.服务对象满意度指标分值5分，得5分。其中企业满意度得5分。</w:t>
      </w:r>
    </w:p>
    <w:p w:rsidR="000D28D6" w:rsidRDefault="005E623C">
      <w:pPr>
        <w:pStyle w:val="a0"/>
        <w:adjustRightInd w:val="0"/>
        <w:snapToGrid w:val="0"/>
        <w:spacing w:after="0" w:line="60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（六）可持续性发展能力情况：</w:t>
      </w:r>
      <w:r>
        <w:rPr>
          <w:rFonts w:ascii="仿宋" w:eastAsia="仿宋" w:hAnsi="仿宋" w:cs="仿宋" w:hint="eastAsia"/>
          <w:sz w:val="32"/>
          <w:szCs w:val="32"/>
        </w:rPr>
        <w:t>1.政策制度分值2分，得2分。其中政策制度可持续得2分。2.队伍建设指标分值2分，得1分。其中部门干部培训得1分。3.经费保障指标分值1分，得1分。其中经费投入可持续得1分。</w:t>
      </w:r>
    </w:p>
    <w:p w:rsidR="000D28D6" w:rsidRDefault="005E623C">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五、存在的问题及原因分析</w:t>
      </w:r>
    </w:p>
    <w:p w:rsidR="000D28D6" w:rsidRDefault="005E623C">
      <w:pPr>
        <w:pStyle w:val="3"/>
        <w:numPr>
          <w:ilvl w:val="0"/>
          <w:numId w:val="0"/>
        </w:numPr>
        <w:adjustRightInd w:val="0"/>
        <w:snapToGrid w:val="0"/>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（一）绩效目标任务分解不详细，绩效指标值设置不合理。</w:t>
      </w:r>
    </w:p>
    <w:p w:rsidR="000D28D6" w:rsidRDefault="005E623C">
      <w:pPr>
        <w:pStyle w:val="3"/>
        <w:numPr>
          <w:ilvl w:val="0"/>
          <w:numId w:val="0"/>
        </w:num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部门整体绩效目标中年度主要任务与部门年度的任务数或计划数不相对应；指标值的设置不合理。</w:t>
      </w:r>
    </w:p>
    <w:p w:rsidR="000D28D6" w:rsidRDefault="00210EE1">
      <w:pPr>
        <w:pStyle w:val="a4"/>
        <w:adjustRightInd w:val="0"/>
        <w:snapToGrid w:val="0"/>
        <w:spacing w:line="600" w:lineRule="exact"/>
        <w:ind w:firstLine="640"/>
        <w:rPr>
          <w:rFonts w:ascii="楷体" w:eastAsia="楷体" w:hAnsi="楷体" w:cs="楷体"/>
          <w:sz w:val="32"/>
          <w:szCs w:val="32"/>
        </w:rPr>
      </w:pPr>
      <w:bookmarkStart w:id="1" w:name="_Toc3209"/>
      <w:r>
        <w:rPr>
          <w:rFonts w:ascii="楷体" w:eastAsia="楷体" w:hAnsi="楷体" w:cs="楷体" w:hint="eastAsia"/>
          <w:sz w:val="32"/>
          <w:szCs w:val="32"/>
        </w:rPr>
        <w:t>（二</w:t>
      </w:r>
      <w:r w:rsidR="005E623C">
        <w:rPr>
          <w:rFonts w:ascii="楷体" w:eastAsia="楷体" w:hAnsi="楷体" w:cs="楷体" w:hint="eastAsia"/>
          <w:sz w:val="32"/>
          <w:szCs w:val="32"/>
        </w:rPr>
        <w:t>）绩效自评工作质量有待提高。</w:t>
      </w:r>
    </w:p>
    <w:p w:rsidR="000D28D6" w:rsidRDefault="005E623C">
      <w:pPr>
        <w:adjustRightInd w:val="0"/>
        <w:snapToGrid w:val="0"/>
        <w:spacing w:line="600" w:lineRule="exact"/>
        <w:ind w:firstLine="640"/>
        <w:rPr>
          <w:rFonts w:ascii="仿宋" w:eastAsia="仿宋" w:hAnsi="仿宋" w:cs="仿宋"/>
          <w:sz w:val="32"/>
          <w:szCs w:val="32"/>
        </w:rPr>
      </w:pPr>
      <w:r>
        <w:rPr>
          <w:rFonts w:ascii="仿宋" w:eastAsia="仿宋" w:hAnsi="仿宋" w:cs="仿宋" w:hint="eastAsia"/>
          <w:sz w:val="32"/>
          <w:szCs w:val="32"/>
        </w:rPr>
        <w:t>部门整体绩效自评表中预算执行情况全年执行数的填列和2021年决算数据不一致；年度总体目标和年度主要任务的实际完成情况没有结合实际完成情况填写；总体分值设置存在错误等。</w:t>
      </w:r>
    </w:p>
    <w:bookmarkEnd w:id="1"/>
    <w:p w:rsidR="000D28D6" w:rsidRDefault="00210EE1">
      <w:pPr>
        <w:pStyle w:val="3"/>
        <w:numPr>
          <w:ilvl w:val="0"/>
          <w:numId w:val="0"/>
        </w:num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w:t>
      </w:r>
      <w:r w:rsidR="005E623C">
        <w:rPr>
          <w:rFonts w:ascii="楷体" w:eastAsia="楷体" w:hAnsi="楷体" w:cs="楷体" w:hint="eastAsia"/>
          <w:sz w:val="32"/>
          <w:szCs w:val="32"/>
        </w:rPr>
        <w:t>）管理制度不健全，缺乏内控机制。</w:t>
      </w:r>
    </w:p>
    <w:p w:rsidR="000D28D6" w:rsidRDefault="005E623C">
      <w:pPr>
        <w:adjustRightInd w:val="0"/>
        <w:snapToGrid w:val="0"/>
        <w:spacing w:line="600" w:lineRule="exact"/>
        <w:ind w:firstLine="640"/>
        <w:rPr>
          <w:rFonts w:ascii="仿宋" w:eastAsia="仿宋" w:hAnsi="仿宋" w:cs="仿宋"/>
          <w:sz w:val="32"/>
          <w:szCs w:val="32"/>
        </w:rPr>
      </w:pPr>
      <w:r>
        <w:rPr>
          <w:rFonts w:ascii="仿宋" w:eastAsia="仿宋" w:hAnsi="仿宋" w:cs="仿宋" w:hint="eastAsia"/>
          <w:sz w:val="32"/>
          <w:szCs w:val="32"/>
        </w:rPr>
        <w:t>在预算管理、绩效管理、内控管理等方面没有建立行之有效的管理制度，对内部控制缺乏强有效的内外监督机制。</w:t>
      </w:r>
    </w:p>
    <w:p w:rsidR="000D28D6" w:rsidRDefault="00210EE1">
      <w:pPr>
        <w:adjustRightInd w:val="0"/>
        <w:snapToGrid w:val="0"/>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w:t>
      </w:r>
      <w:r w:rsidR="005E623C">
        <w:rPr>
          <w:rFonts w:ascii="楷体" w:eastAsia="楷体" w:hAnsi="楷体" w:cs="楷体" w:hint="eastAsia"/>
          <w:sz w:val="32"/>
          <w:szCs w:val="32"/>
        </w:rPr>
        <w:t>）预算编制不精准，未经过科学论证。</w:t>
      </w:r>
    </w:p>
    <w:p w:rsidR="000D28D6" w:rsidRDefault="005E623C">
      <w:pPr>
        <w:pStyle w:val="a0"/>
        <w:adjustRightInd w:val="0"/>
        <w:snapToGrid w:val="0"/>
        <w:spacing w:after="0" w:line="600" w:lineRule="exact"/>
        <w:ind w:firstLineChars="200" w:firstLine="640"/>
      </w:pPr>
      <w:r>
        <w:rPr>
          <w:rFonts w:ascii="仿宋" w:eastAsia="仿宋" w:hAnsi="仿宋" w:cs="仿宋" w:hint="eastAsia"/>
          <w:sz w:val="32"/>
          <w:szCs w:val="32"/>
        </w:rPr>
        <w:t>部分项目预算编制金额与实际执行偏差较大，没有充分考虑往年平均预算执行水平，结合实际运用科学的预算编制方法。</w:t>
      </w:r>
    </w:p>
    <w:p w:rsidR="000D28D6" w:rsidRDefault="005E623C">
      <w:pPr>
        <w:pStyle w:val="a0"/>
        <w:numPr>
          <w:ilvl w:val="0"/>
          <w:numId w:val="2"/>
        </w:numPr>
        <w:adjustRightInd w:val="0"/>
        <w:snapToGrid w:val="0"/>
        <w:spacing w:after="0" w:line="600" w:lineRule="exact"/>
        <w:ind w:firstLineChars="200" w:firstLine="640"/>
        <w:rPr>
          <w:rFonts w:ascii="黑体" w:eastAsia="黑体" w:hAnsi="黑体" w:cs="黑体"/>
          <w:sz w:val="32"/>
          <w:szCs w:val="32"/>
        </w:rPr>
      </w:pPr>
      <w:r>
        <w:rPr>
          <w:rFonts w:ascii="黑体" w:eastAsia="黑体" w:hAnsi="黑体" w:cs="黑体" w:hint="eastAsia"/>
          <w:sz w:val="32"/>
          <w:szCs w:val="32"/>
        </w:rPr>
        <w:t>有关建议</w:t>
      </w:r>
    </w:p>
    <w:p w:rsidR="000D28D6" w:rsidRDefault="005E623C">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（一）落实绩效责任主体，提高绩效管理工作水平。</w:t>
      </w:r>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（1）科学设置绩效目标和绩效指标。绩效目标设置应参考过往年度目标及实现情况进行绩效目标的申报及设置，发挥绩效目标的指导性作用。</w:t>
      </w:r>
      <w:bookmarkStart w:id="2" w:name="_Toc4314"/>
      <w:bookmarkStart w:id="3" w:name="_Toc25110"/>
    </w:p>
    <w:p w:rsidR="000D28D6" w:rsidRDefault="005E623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（2）注重过程管理，做好绩效监控。对项目立项、执行等各阶段集体决策过程要留有痕迹，建立绩效运行跟踪监控机制，对绩效目标运行情况进行跟踪管理和督促检查。</w:t>
      </w:r>
    </w:p>
    <w:p w:rsidR="000D28D6" w:rsidRDefault="005E623C">
      <w:pPr>
        <w:spacing w:line="600" w:lineRule="exact"/>
        <w:ind w:firstLineChars="200" w:firstLine="640"/>
        <w:rPr>
          <w:rFonts w:ascii="仿宋" w:eastAsia="仿宋" w:hAnsi="仿宋" w:cs="仿宋"/>
          <w:b/>
          <w:bCs/>
          <w:sz w:val="32"/>
          <w:szCs w:val="32"/>
        </w:rPr>
      </w:pPr>
      <w:r>
        <w:rPr>
          <w:rFonts w:ascii="仿宋" w:eastAsia="仿宋" w:hAnsi="仿宋" w:cs="仿宋" w:hint="eastAsia"/>
          <w:sz w:val="32"/>
          <w:szCs w:val="32"/>
        </w:rPr>
        <w:t>（3）扎实开展绩效自评，强化结果应用。拟定自评方案，收集绩效目标实现程度、预算执行进度等数据资料，对部门整体和项目开展评价分析，研究制订整改措施，并在以后的工作中积极改进。</w:t>
      </w:r>
    </w:p>
    <w:p w:rsidR="000D28D6" w:rsidRDefault="005E623C">
      <w:pPr>
        <w:pStyle w:val="3"/>
        <w:numPr>
          <w:ilvl w:val="0"/>
          <w:numId w:val="0"/>
        </w:numPr>
        <w:spacing w:line="600" w:lineRule="exact"/>
        <w:ind w:firstLineChars="200" w:firstLine="640"/>
        <w:rPr>
          <w:rFonts w:ascii="楷体" w:eastAsia="楷体" w:hAnsi="楷体" w:cs="楷体"/>
          <w:sz w:val="32"/>
          <w:szCs w:val="32"/>
        </w:rPr>
      </w:pPr>
      <w:bookmarkStart w:id="4" w:name="_Toc6"/>
      <w:bookmarkStart w:id="5" w:name="_Toc13309"/>
      <w:bookmarkEnd w:id="2"/>
      <w:bookmarkEnd w:id="3"/>
      <w:r>
        <w:rPr>
          <w:rFonts w:ascii="楷体" w:eastAsia="楷体" w:hAnsi="楷体" w:cs="楷体" w:hint="eastAsia"/>
          <w:sz w:val="32"/>
          <w:szCs w:val="32"/>
        </w:rPr>
        <w:t>（二）增强内部控制意识，健全细化内部管理制度</w:t>
      </w:r>
      <w:bookmarkEnd w:id="4"/>
      <w:r>
        <w:rPr>
          <w:rFonts w:ascii="楷体" w:eastAsia="楷体" w:hAnsi="楷体" w:cs="楷体" w:hint="eastAsia"/>
          <w:sz w:val="32"/>
          <w:szCs w:val="32"/>
        </w:rPr>
        <w:t>。</w:t>
      </w:r>
    </w:p>
    <w:p w:rsidR="000D28D6" w:rsidRDefault="005E623C">
      <w:pPr>
        <w:spacing w:line="600" w:lineRule="exact"/>
        <w:ind w:firstLine="640"/>
        <w:rPr>
          <w:rFonts w:ascii="仿宋" w:eastAsia="仿宋" w:hAnsi="仿宋" w:cs="仿宋"/>
          <w:sz w:val="32"/>
          <w:szCs w:val="32"/>
        </w:rPr>
      </w:pPr>
      <w:r>
        <w:rPr>
          <w:rFonts w:ascii="仿宋" w:eastAsia="仿宋" w:hAnsi="仿宋" w:cs="仿宋" w:hint="eastAsia"/>
          <w:sz w:val="32"/>
          <w:szCs w:val="32"/>
        </w:rPr>
        <w:t>健全完善资金业务相关管理制度，明确业务的决策、执行、管理、监督机构及职责，业务各管理环节控制目标及管理要求。</w:t>
      </w:r>
    </w:p>
    <w:bookmarkEnd w:id="5"/>
    <w:p w:rsidR="000D28D6" w:rsidRDefault="005E623C">
      <w:pPr>
        <w:pStyle w:val="a0"/>
        <w:adjustRightInd w:val="0"/>
        <w:snapToGrid w:val="0"/>
        <w:spacing w:after="0" w:line="600" w:lineRule="exact"/>
        <w:ind w:firstLineChars="200" w:firstLine="640"/>
        <w:rPr>
          <w:rFonts w:ascii="楷体" w:eastAsia="楷体" w:hAnsi="楷体" w:cs="楷体"/>
          <w:sz w:val="32"/>
          <w:szCs w:val="32"/>
        </w:rPr>
      </w:pPr>
      <w:r>
        <w:rPr>
          <w:rFonts w:ascii="楷体" w:eastAsia="楷体" w:hAnsi="楷体" w:cs="楷体" w:hint="eastAsia"/>
          <w:sz w:val="32"/>
          <w:szCs w:val="32"/>
        </w:rPr>
        <w:t>（三）夯实预算编制基础工作，提升预算精准度。</w:t>
      </w:r>
    </w:p>
    <w:p w:rsidR="000D28D6" w:rsidRDefault="005E623C">
      <w:pPr>
        <w:pStyle w:val="a0"/>
        <w:adjustRightInd w:val="0"/>
        <w:snapToGrid w:val="0"/>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财务人员要增强编制预算的意识，与各业务股室加强沟通协作，做好零基预算，科学、合理确定预算数，提升预算精准度。</w:t>
      </w:r>
    </w:p>
    <w:p w:rsidR="000D28D6" w:rsidRDefault="000D28D6">
      <w:pPr>
        <w:spacing w:line="600" w:lineRule="exact"/>
        <w:ind w:firstLine="640"/>
        <w:rPr>
          <w:rFonts w:ascii="仿宋" w:eastAsia="仿宋" w:hAnsi="仿宋" w:cs="仿宋"/>
          <w:sz w:val="32"/>
          <w:szCs w:val="32"/>
        </w:rPr>
      </w:pPr>
    </w:p>
    <w:sectPr w:rsidR="000D28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785" w:rsidRDefault="00034785">
      <w:r>
        <w:separator/>
      </w:r>
    </w:p>
  </w:endnote>
  <w:endnote w:type="continuationSeparator" w:id="0">
    <w:p w:rsidR="00034785" w:rsidRDefault="0003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D6" w:rsidRDefault="005E623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28D6" w:rsidRDefault="005E623C">
                          <w:pPr>
                            <w:pStyle w:val="a5"/>
                          </w:pPr>
                          <w:r>
                            <w:fldChar w:fldCharType="begin"/>
                          </w:r>
                          <w:r>
                            <w:instrText xml:space="preserve"> PAGE  \* MERGEFORMAT </w:instrText>
                          </w:r>
                          <w:r>
                            <w:fldChar w:fldCharType="separate"/>
                          </w:r>
                          <w:r w:rsidR="009C236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28D6" w:rsidRDefault="005E623C">
                    <w:pPr>
                      <w:pStyle w:val="a5"/>
                    </w:pPr>
                    <w:r>
                      <w:fldChar w:fldCharType="begin"/>
                    </w:r>
                    <w:r>
                      <w:instrText xml:space="preserve"> PAGE  \* MERGEFORMAT </w:instrText>
                    </w:r>
                    <w:r>
                      <w:fldChar w:fldCharType="separate"/>
                    </w:r>
                    <w:r w:rsidR="009C236C">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785" w:rsidRDefault="00034785">
      <w:r>
        <w:separator/>
      </w:r>
    </w:p>
  </w:footnote>
  <w:footnote w:type="continuationSeparator" w:id="0">
    <w:p w:rsidR="00034785" w:rsidRDefault="0003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29D"/>
    <w:multiLevelType w:val="multilevel"/>
    <w:tmpl w:val="24A1729D"/>
    <w:lvl w:ilvl="0">
      <w:start w:val="1"/>
      <w:numFmt w:val="decimal"/>
      <w:pStyle w:val="3"/>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31CFC746"/>
    <w:multiLevelType w:val="singleLevel"/>
    <w:tmpl w:val="31CFC746"/>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ODY3ZGMyNzM1ZmU4YTA1YzBkMTFjZjY5NGE2N2MifQ=="/>
  </w:docVars>
  <w:rsids>
    <w:rsidRoot w:val="75DC7676"/>
    <w:rsid w:val="00034785"/>
    <w:rsid w:val="00070CCE"/>
    <w:rsid w:val="000D28D6"/>
    <w:rsid w:val="00210EE1"/>
    <w:rsid w:val="005E623C"/>
    <w:rsid w:val="009C236C"/>
    <w:rsid w:val="00D6298D"/>
    <w:rsid w:val="062A4F87"/>
    <w:rsid w:val="070E2AFA"/>
    <w:rsid w:val="08DA0EE6"/>
    <w:rsid w:val="0F607C6B"/>
    <w:rsid w:val="10481FFD"/>
    <w:rsid w:val="14D7452C"/>
    <w:rsid w:val="15115C90"/>
    <w:rsid w:val="15284D87"/>
    <w:rsid w:val="15393D14"/>
    <w:rsid w:val="1BE539D2"/>
    <w:rsid w:val="1C5D5C5E"/>
    <w:rsid w:val="1CEC0D90"/>
    <w:rsid w:val="1D5E3A3C"/>
    <w:rsid w:val="1D8F1E47"/>
    <w:rsid w:val="25292B82"/>
    <w:rsid w:val="2A662182"/>
    <w:rsid w:val="2BD80E5D"/>
    <w:rsid w:val="2D620BA8"/>
    <w:rsid w:val="2D823B19"/>
    <w:rsid w:val="355D23D3"/>
    <w:rsid w:val="378105FB"/>
    <w:rsid w:val="39B07BC8"/>
    <w:rsid w:val="3E2B306F"/>
    <w:rsid w:val="43FE2FD4"/>
    <w:rsid w:val="47E863B1"/>
    <w:rsid w:val="4E510CFD"/>
    <w:rsid w:val="4EE01C53"/>
    <w:rsid w:val="54A86D6F"/>
    <w:rsid w:val="57B36157"/>
    <w:rsid w:val="581D7A74"/>
    <w:rsid w:val="58B32187"/>
    <w:rsid w:val="5D535CE6"/>
    <w:rsid w:val="64170325"/>
    <w:rsid w:val="668313EA"/>
    <w:rsid w:val="67002A3B"/>
    <w:rsid w:val="67044C14"/>
    <w:rsid w:val="686D4100"/>
    <w:rsid w:val="6B8A4FC9"/>
    <w:rsid w:val="6BA8544F"/>
    <w:rsid w:val="6D3451EC"/>
    <w:rsid w:val="724063E2"/>
    <w:rsid w:val="756E14B8"/>
    <w:rsid w:val="75DC7676"/>
    <w:rsid w:val="768D3BBF"/>
    <w:rsid w:val="76CC5C4C"/>
    <w:rsid w:val="77B07B65"/>
    <w:rsid w:val="792A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qFormat/>
    <w:pPr>
      <w:keepNext/>
      <w:keepLines/>
      <w:numPr>
        <w:numId w:val="1"/>
      </w:numPr>
      <w:ind w:left="0" w:firstLine="567"/>
      <w:outlineLvl w:val="2"/>
    </w:pPr>
    <w:rPr>
      <w:rFonts w:ascii="宋体" w:hAnsi="宋体" w:cs="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qFormat/>
    <w:pPr>
      <w:widowControl/>
      <w:wordWrap w:val="0"/>
      <w:spacing w:after="60"/>
      <w:jc w:val="center"/>
    </w:pPr>
    <w:rPr>
      <w:sz w:val="24"/>
    </w:rPr>
  </w:style>
  <w:style w:type="paragraph" w:customStyle="1" w:styleId="Default">
    <w:name w:val="Default"/>
    <w:next w:val="a7"/>
    <w:qFormat/>
    <w:pPr>
      <w:widowControl w:val="0"/>
      <w:autoSpaceDE w:val="0"/>
      <w:autoSpaceDN w:val="0"/>
      <w:adjustRightInd w:val="0"/>
    </w:pPr>
    <w:rPr>
      <w:rFonts w:ascii="仿宋_GB2312" w:eastAsia="宋体"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qFormat/>
    <w:pPr>
      <w:keepNext/>
      <w:keepLines/>
      <w:numPr>
        <w:numId w:val="1"/>
      </w:numPr>
      <w:ind w:left="0" w:firstLine="567"/>
      <w:outlineLvl w:val="2"/>
    </w:pPr>
    <w:rPr>
      <w:rFonts w:ascii="宋体" w:hAnsi="宋体" w:cs="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qFormat/>
    <w:pPr>
      <w:widowControl/>
      <w:wordWrap w:val="0"/>
      <w:spacing w:after="60"/>
      <w:jc w:val="center"/>
    </w:pPr>
    <w:rPr>
      <w:sz w:val="24"/>
    </w:rPr>
  </w:style>
  <w:style w:type="paragraph" w:customStyle="1" w:styleId="Default">
    <w:name w:val="Default"/>
    <w:next w:val="a7"/>
    <w:qFormat/>
    <w:pPr>
      <w:widowControl w:val="0"/>
      <w:autoSpaceDE w:val="0"/>
      <w:autoSpaceDN w:val="0"/>
      <w:adjustRightInd w:val="0"/>
    </w:pPr>
    <w:rPr>
      <w:rFonts w:ascii="仿宋_GB2312" w:eastAsia="宋体"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WPS_1642667985</dc:creator>
  <cp:lastModifiedBy>lenovo</cp:lastModifiedBy>
  <cp:revision>4</cp:revision>
  <dcterms:created xsi:type="dcterms:W3CDTF">2022-12-21T00:32:00Z</dcterms:created>
  <dcterms:modified xsi:type="dcterms:W3CDTF">2023-01-18T00:49:00Z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BC50146C6DAE4CFA89276A9F6B9EAF11</vt:lpwstr>
  </property>
</Properties>
</file>