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bCs/>
          <w:szCs w:val="44"/>
        </w:rPr>
      </w:pPr>
      <w:r>
        <w:rPr>
          <w:rFonts w:hint="eastAsia" w:ascii="黑体" w:hAnsi="黑体" w:eastAsia="黑体"/>
          <w:bCs/>
          <w:szCs w:val="44"/>
        </w:rPr>
        <w:t>附件2</w:t>
      </w:r>
    </w:p>
    <w:p>
      <w:pPr>
        <w:jc w:val="center"/>
        <w:rPr>
          <w:rFonts w:ascii="方正小标宋简体" w:hAnsi="Arial" w:eastAsia="方正小标宋简体" w:cs="Arial"/>
          <w:sz w:val="40"/>
          <w:szCs w:val="40"/>
        </w:rPr>
      </w:pPr>
    </w:p>
    <w:p>
      <w:pPr>
        <w:jc w:val="center"/>
        <w:rPr>
          <w:rFonts w:ascii="方正小标宋简体" w:hAnsi="Arial" w:eastAsia="方正小标宋简体" w:cs="Arial"/>
          <w:sz w:val="40"/>
          <w:szCs w:val="40"/>
        </w:rPr>
      </w:pPr>
      <w:r>
        <w:rPr>
          <w:rFonts w:hint="eastAsia" w:ascii="方正小标宋简体" w:hAnsi="Arial" w:eastAsia="方正小标宋简体" w:cs="Arial"/>
          <w:sz w:val="40"/>
          <w:szCs w:val="40"/>
        </w:rPr>
        <w:t xml:space="preserve">平顶山高新技术产业开发区综合办公室项目支出绩效自评报告  </w:t>
      </w:r>
    </w:p>
    <w:p>
      <w:pPr>
        <w:jc w:val="center"/>
        <w:rPr>
          <w:rFonts w:ascii="仿宋_GB2312" w:hAnsi="华文中宋"/>
          <w:bCs/>
          <w:sz w:val="32"/>
          <w:szCs w:val="32"/>
        </w:rPr>
      </w:pPr>
      <w:r>
        <w:rPr>
          <w:rFonts w:hint="eastAsia" w:ascii="仿宋_GB2312"/>
          <w:bCs/>
          <w:sz w:val="32"/>
          <w:szCs w:val="32"/>
        </w:rPr>
        <w:t>（督办督查、节能减排、公楼维护、水电暖、空调及电梯、职工体检、食堂管理等项目）</w:t>
      </w:r>
    </w:p>
    <w:p>
      <w:pPr>
        <w:jc w:val="center"/>
        <w:rPr>
          <w:rFonts w:ascii="仿宋_GB2312"/>
          <w:sz w:val="32"/>
          <w:szCs w:val="32"/>
        </w:rPr>
      </w:pPr>
    </w:p>
    <w:p>
      <w:pPr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一、项目支出基本情况</w:t>
      </w:r>
    </w:p>
    <w:p>
      <w:pPr>
        <w:spacing w:line="240" w:lineRule="atLeast"/>
        <w:ind w:firstLine="640" w:firstLineChars="20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sz w:val="32"/>
          <w:szCs w:val="32"/>
          <w:shd w:val="clear" w:color="auto" w:fill="FFFFFF"/>
        </w:rPr>
        <w:t>2021年度，平顶山高新技术产业开发区综合办公室</w:t>
      </w:r>
      <w:r>
        <w:rPr>
          <w:rFonts w:hint="eastAsia" w:ascii="仿宋" w:hAnsi="仿宋" w:eastAsia="仿宋"/>
          <w:bCs/>
          <w:sz w:val="32"/>
          <w:szCs w:val="32"/>
          <w:shd w:val="clear" w:color="auto" w:fill="FFFFFF"/>
        </w:rPr>
        <w:t>督办督查、节能减排、公楼维护、水电暖、空调及电梯、职工体检、食堂管理等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项目预算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  <w:shd w:val="clear" w:color="auto" w:fill="FFFFFF"/>
          <w:lang w:eastAsia="zh-CN"/>
        </w:rPr>
        <w:t>707.97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万元，当年财政拨款收入</w:t>
      </w:r>
      <w:r>
        <w:rPr>
          <w:rFonts w:hint="eastAsia" w:ascii="仿宋" w:hAnsi="仿宋" w:eastAsia="仿宋"/>
          <w:sz w:val="32"/>
          <w:szCs w:val="32"/>
          <w:shd w:val="clear" w:color="auto" w:fill="FFFFFF"/>
          <w:lang w:eastAsia="zh-CN"/>
        </w:rPr>
        <w:t>707.97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万元，无上年结转资金，无其他资金。已执行</w:t>
      </w:r>
      <w:r>
        <w:rPr>
          <w:rFonts w:hint="eastAsia" w:ascii="仿宋" w:hAnsi="仿宋" w:eastAsia="仿宋"/>
          <w:sz w:val="32"/>
          <w:szCs w:val="32"/>
          <w:shd w:val="clear" w:color="auto" w:fill="FFFFFF"/>
          <w:lang w:eastAsia="zh-CN"/>
        </w:rPr>
        <w:t>707.97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万元。</w:t>
      </w:r>
    </w:p>
    <w:p>
      <w:pPr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二、自评工作开展情况</w:t>
      </w:r>
    </w:p>
    <w:p>
      <w:pPr>
        <w:ind w:firstLine="640" w:firstLineChars="20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sz w:val="32"/>
          <w:szCs w:val="32"/>
          <w:shd w:val="clear" w:color="auto" w:fill="FFFFFF"/>
        </w:rPr>
        <w:t>为深入贯彻落实《预算法》，顺应传统预算向绩效预算转型的改革趋势，进一步优化财政资源配置，提高财政资金的使用效益，完善管理制度。平顶山高新技术产业开发区综合办公室成立了绩效评价小组，参与绩效评价的科室有财务室等部门，共同对单位的</w:t>
      </w:r>
      <w:r>
        <w:rPr>
          <w:rFonts w:ascii="仿宋" w:hAnsi="仿宋" w:eastAsia="仿宋"/>
          <w:sz w:val="32"/>
          <w:szCs w:val="32"/>
          <w:shd w:val="clear" w:color="auto" w:fill="FFFFFF"/>
        </w:rPr>
        <w:t>20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21年度</w:t>
      </w:r>
      <w:r>
        <w:rPr>
          <w:rFonts w:hint="eastAsia" w:ascii="仿宋" w:hAnsi="仿宋" w:eastAsia="仿宋" w:cs="仿宋_GB2312"/>
          <w:sz w:val="32"/>
          <w:szCs w:val="32"/>
        </w:rPr>
        <w:t>项目经费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收支进行审核及分类统计，对项目产生的绩效情况收集了资料进行了分析，在分析的基础上开展了绩效自评，形成了本绩效自评报告。</w:t>
      </w:r>
    </w:p>
    <w:p>
      <w:pPr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三、项目支出绩效自评结果及分析</w:t>
      </w:r>
    </w:p>
    <w:p>
      <w:pPr>
        <w:pStyle w:val="2"/>
        <w:tabs>
          <w:tab w:val="left" w:pos="1514"/>
        </w:tabs>
        <w:spacing w:line="240" w:lineRule="auto"/>
        <w:ind w:left="600" w:leftChars="200" w:firstLine="0"/>
        <w:rPr>
          <w:rFonts w:hint="default" w:ascii="仿宋" w:hAnsi="仿宋" w:eastAsia="仿宋" w:cs="Times New Roman"/>
          <w:color w:val="auto"/>
          <w:kern w:val="2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" w:hAnsi="仿宋" w:eastAsia="仿宋" w:cs="Times New Roman"/>
          <w:color w:val="auto"/>
          <w:kern w:val="2"/>
          <w:sz w:val="32"/>
          <w:szCs w:val="32"/>
          <w:shd w:val="clear" w:color="auto" w:fill="FFFFFF"/>
          <w:lang w:val="en-US" w:eastAsia="zh-CN" w:bidi="ar-SA"/>
        </w:rPr>
        <w:t>（一）总体情况</w:t>
      </w:r>
    </w:p>
    <w:p>
      <w:pPr>
        <w:pStyle w:val="2"/>
        <w:tabs>
          <w:tab w:val="left" w:pos="1514"/>
        </w:tabs>
        <w:spacing w:line="240" w:lineRule="auto"/>
        <w:ind w:firstLine="640" w:firstLineChars="200"/>
        <w:rPr>
          <w:rFonts w:hint="default" w:ascii="仿宋" w:hAnsi="仿宋" w:eastAsia="仿宋" w:cs="Times New Roman"/>
          <w:color w:val="auto"/>
          <w:kern w:val="2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" w:hAnsi="仿宋" w:eastAsia="仿宋" w:cs="Times New Roman"/>
          <w:color w:val="auto"/>
          <w:kern w:val="2"/>
          <w:sz w:val="32"/>
          <w:szCs w:val="32"/>
          <w:shd w:val="clear" w:color="auto" w:fill="FFFFFF"/>
          <w:lang w:val="en-US" w:eastAsia="zh-CN" w:bidi="ar-SA"/>
        </w:rPr>
        <w:t>督办督查、节能减排、公楼维护、水电暖、空调及电梯、职工体检、食堂管理等项目用于保障日常工作正常开展，总体评价良好。</w:t>
      </w:r>
    </w:p>
    <w:p>
      <w:pPr>
        <w:pStyle w:val="2"/>
        <w:tabs>
          <w:tab w:val="left" w:pos="1514"/>
        </w:tabs>
        <w:spacing w:line="240" w:lineRule="auto"/>
        <w:ind w:firstLine="640" w:firstLineChars="200"/>
        <w:rPr>
          <w:rFonts w:hint="default" w:ascii="仿宋" w:hAnsi="仿宋" w:eastAsia="仿宋" w:cs="Times New Roman"/>
          <w:color w:val="auto"/>
          <w:kern w:val="2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" w:hAnsi="仿宋" w:eastAsia="仿宋" w:cs="Times New Roman"/>
          <w:color w:val="auto"/>
          <w:kern w:val="2"/>
          <w:sz w:val="32"/>
          <w:szCs w:val="32"/>
          <w:shd w:val="clear" w:color="auto" w:fill="FFFFFF"/>
          <w:lang w:val="en-US" w:eastAsia="zh-CN" w:bidi="ar-SA"/>
        </w:rPr>
        <w:t>（二）项目绩效自评情况及分析</w:t>
      </w:r>
    </w:p>
    <w:p>
      <w:pPr>
        <w:pStyle w:val="13"/>
        <w:tabs>
          <w:tab w:val="left" w:pos="1847"/>
        </w:tabs>
        <w:spacing w:line="240" w:lineRule="auto"/>
        <w:ind w:firstLine="640" w:firstLineChars="200"/>
        <w:rPr>
          <w:rFonts w:ascii="仿宋" w:hAnsi="仿宋" w:eastAsia="仿宋" w:cs="仿宋_GB2312"/>
          <w:sz w:val="32"/>
          <w:szCs w:val="32"/>
          <w:lang w:val="zh-CN" w:eastAsia="zh-CN" w:bidi="ar-SA"/>
        </w:rPr>
      </w:pPr>
      <w:r>
        <w:rPr>
          <w:rFonts w:hint="eastAsia" w:ascii="仿宋" w:hAnsi="仿宋" w:eastAsia="仿宋" w:cs="仿宋_GB2312"/>
          <w:sz w:val="32"/>
          <w:szCs w:val="32"/>
          <w:lang w:val="zh-CN" w:eastAsia="zh-CN" w:bidi="ar-SA"/>
        </w:rPr>
        <w:t>项目预期当年预算</w:t>
      </w:r>
      <w:r>
        <w:rPr>
          <w:rFonts w:hint="eastAsia" w:ascii="仿宋" w:hAnsi="仿宋" w:eastAsia="仿宋"/>
          <w:sz w:val="32"/>
          <w:szCs w:val="32"/>
          <w:shd w:val="clear" w:color="auto" w:fill="FFFFFF"/>
          <w:lang w:eastAsia="zh-CN"/>
        </w:rPr>
        <w:t>707.97</w:t>
      </w:r>
      <w:r>
        <w:rPr>
          <w:rFonts w:hint="eastAsia" w:ascii="仿宋" w:hAnsi="仿宋" w:eastAsia="仿宋" w:cs="仿宋_GB2312"/>
          <w:sz w:val="32"/>
          <w:szCs w:val="32"/>
          <w:lang w:val="zh-CN" w:eastAsia="zh-CN" w:bidi="ar-SA"/>
        </w:rPr>
        <w:t>万元，已执行707.97万元，得分</w:t>
      </w:r>
      <w:r>
        <w:rPr>
          <w:rFonts w:hint="eastAsia" w:ascii="仿宋" w:hAnsi="仿宋" w:eastAsia="仿宋" w:cs="仿宋_GB2312"/>
          <w:sz w:val="32"/>
          <w:szCs w:val="32"/>
          <w:lang w:val="en-US" w:eastAsia="zh-CN" w:bidi="ar-SA"/>
        </w:rPr>
        <w:t>100</w:t>
      </w:r>
      <w:r>
        <w:rPr>
          <w:rFonts w:hint="eastAsia" w:ascii="仿宋" w:hAnsi="仿宋" w:eastAsia="仿宋" w:cs="仿宋_GB2312"/>
          <w:sz w:val="32"/>
          <w:szCs w:val="32"/>
          <w:lang w:val="zh-CN" w:eastAsia="zh-CN" w:bidi="ar-SA"/>
        </w:rPr>
        <w:t>分，执行率为</w:t>
      </w:r>
      <w:r>
        <w:rPr>
          <w:rFonts w:hint="eastAsia" w:ascii="仿宋" w:hAnsi="仿宋" w:eastAsia="仿宋" w:cs="仿宋_GB2312"/>
          <w:sz w:val="32"/>
          <w:szCs w:val="32"/>
          <w:lang w:val="en-US" w:eastAsia="zh-CN" w:bidi="ar-SA"/>
        </w:rPr>
        <w:t>100</w:t>
      </w:r>
      <w:r>
        <w:rPr>
          <w:rFonts w:ascii="仿宋" w:hAnsi="仿宋" w:eastAsia="仿宋" w:cs="仿宋_GB2312"/>
          <w:sz w:val="32"/>
          <w:szCs w:val="32"/>
          <w:lang w:val="zh-CN" w:eastAsia="zh-CN" w:bidi="ar-SA"/>
        </w:rPr>
        <w:t>%</w:t>
      </w:r>
      <w:r>
        <w:rPr>
          <w:rFonts w:hint="eastAsia" w:ascii="仿宋" w:hAnsi="仿宋" w:eastAsia="仿宋" w:cs="仿宋_GB2312"/>
          <w:sz w:val="32"/>
          <w:szCs w:val="32"/>
          <w:lang w:val="zh-CN" w:eastAsia="zh-CN" w:bidi="ar-SA"/>
        </w:rPr>
        <w:t>，执行率得分</w:t>
      </w:r>
      <w:r>
        <w:rPr>
          <w:rFonts w:hint="eastAsia" w:ascii="仿宋" w:hAnsi="仿宋" w:eastAsia="仿宋" w:cs="仿宋_GB2312"/>
          <w:sz w:val="32"/>
          <w:szCs w:val="32"/>
          <w:lang w:val="en-US" w:eastAsia="zh-CN" w:bidi="ar-SA"/>
        </w:rPr>
        <w:t>10</w:t>
      </w:r>
      <w:r>
        <w:rPr>
          <w:rFonts w:hint="eastAsia" w:ascii="仿宋" w:hAnsi="仿宋" w:eastAsia="仿宋" w:cs="仿宋_GB2312"/>
          <w:sz w:val="32"/>
          <w:szCs w:val="32"/>
          <w:lang w:val="zh-CN" w:eastAsia="zh-CN" w:bidi="ar-SA"/>
        </w:rPr>
        <w:t>分，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产出指标</w:t>
      </w:r>
      <w:r>
        <w:rPr>
          <w:rFonts w:ascii="仿宋" w:hAnsi="仿宋" w:eastAsia="仿宋"/>
          <w:sz w:val="32"/>
          <w:szCs w:val="32"/>
          <w:shd w:val="clear" w:color="auto" w:fill="FFFFFF"/>
        </w:rPr>
        <w:t>得</w:t>
      </w:r>
      <w:r>
        <w:rPr>
          <w:rFonts w:hint="eastAsia" w:ascii="仿宋" w:hAnsi="仿宋" w:eastAsia="仿宋"/>
          <w:sz w:val="32"/>
          <w:szCs w:val="32"/>
          <w:shd w:val="clear" w:color="auto" w:fill="FFFFFF"/>
          <w:lang w:val="en-US" w:eastAsia="zh-CN"/>
        </w:rPr>
        <w:t>50</w:t>
      </w:r>
      <w:r>
        <w:rPr>
          <w:rFonts w:ascii="仿宋" w:hAnsi="仿宋" w:eastAsia="仿宋"/>
          <w:sz w:val="32"/>
          <w:szCs w:val="32"/>
          <w:shd w:val="clear" w:color="auto" w:fill="FFFFFF"/>
        </w:rPr>
        <w:t>分，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效益指标</w:t>
      </w:r>
      <w:r>
        <w:rPr>
          <w:rFonts w:ascii="仿宋" w:hAnsi="仿宋" w:eastAsia="仿宋"/>
          <w:sz w:val="32"/>
          <w:szCs w:val="32"/>
          <w:shd w:val="clear" w:color="auto" w:fill="FFFFFF"/>
        </w:rPr>
        <w:t>得分30分，满意度指标得分10分</w:t>
      </w:r>
      <w:r>
        <w:rPr>
          <w:rFonts w:ascii="仿宋" w:hAnsi="仿宋" w:eastAsia="仿宋"/>
          <w:sz w:val="32"/>
          <w:szCs w:val="32"/>
          <w:shd w:val="clear" w:color="auto" w:fill="FFFFFF"/>
          <w:lang w:val="en-US"/>
        </w:rPr>
        <w:t>。</w:t>
      </w:r>
    </w:p>
    <w:p>
      <w:pPr>
        <w:pStyle w:val="13"/>
        <w:numPr>
          <w:ilvl w:val="0"/>
          <w:numId w:val="1"/>
        </w:numPr>
        <w:tabs>
          <w:tab w:val="left" w:pos="1847"/>
        </w:tabs>
        <w:spacing w:line="240" w:lineRule="auto"/>
        <w:ind w:firstLine="640" w:firstLineChars="200"/>
        <w:rPr>
          <w:rStyle w:val="12"/>
          <w:rFonts w:ascii="楷体_GB2312" w:hAnsi="楷体_GB2312" w:eastAsia="楷体_GB2312" w:cs="楷体_GB2312"/>
          <w:bCs/>
          <w:sz w:val="32"/>
          <w:szCs w:val="32"/>
        </w:rPr>
      </w:pPr>
      <w:r>
        <w:rPr>
          <w:rStyle w:val="12"/>
          <w:rFonts w:ascii="楷体_GB2312" w:hAnsi="楷体_GB2312" w:eastAsia="楷体_GB2312" w:cs="楷体_GB2312"/>
          <w:bCs/>
          <w:sz w:val="32"/>
          <w:szCs w:val="32"/>
        </w:rPr>
        <w:t>偏差较大项目说明</w:t>
      </w:r>
    </w:p>
    <w:p>
      <w:pPr>
        <w:pStyle w:val="13"/>
        <w:tabs>
          <w:tab w:val="left" w:pos="1847"/>
        </w:tabs>
        <w:spacing w:line="240" w:lineRule="auto"/>
        <w:ind w:firstLine="640" w:firstLineChars="200"/>
        <w:rPr>
          <w:rFonts w:hint="eastAsia" w:ascii="仿宋" w:hAnsi="仿宋" w:eastAsia="仿宋" w:cs="仿宋_GB2312"/>
          <w:sz w:val="32"/>
          <w:szCs w:val="32"/>
          <w:lang w:val="zh-CN" w:eastAsia="zh-CN" w:bidi="ar-SA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 w:bidi="ar-SA"/>
        </w:rPr>
        <w:t>无</w:t>
      </w:r>
      <w:r>
        <w:rPr>
          <w:rFonts w:hint="eastAsia" w:ascii="仿宋" w:hAnsi="仿宋" w:eastAsia="仿宋" w:cs="仿宋_GB2312"/>
          <w:sz w:val="32"/>
          <w:szCs w:val="32"/>
          <w:lang w:val="zh-CN" w:eastAsia="zh-CN" w:bidi="ar-SA"/>
        </w:rPr>
        <w:t>偏差较大项目。</w:t>
      </w:r>
    </w:p>
    <w:p>
      <w:pPr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四、自评发现的问题及</w:t>
      </w:r>
      <w:r>
        <w:rPr>
          <w:rFonts w:ascii="黑体" w:hAnsi="黑体" w:eastAsia="黑体" w:cs="黑体"/>
          <w:bCs/>
          <w:sz w:val="32"/>
          <w:szCs w:val="32"/>
        </w:rPr>
        <w:t>整改措施</w:t>
      </w:r>
    </w:p>
    <w:p>
      <w:pPr>
        <w:spacing w:line="276" w:lineRule="auto"/>
        <w:ind w:firstLine="640" w:firstLineChars="200"/>
        <w:rPr>
          <w:rFonts w:hint="eastAsia" w:ascii="仿宋_GB2312"/>
          <w:sz w:val="32"/>
          <w:szCs w:val="32"/>
        </w:rPr>
      </w:pPr>
      <w:r>
        <w:rPr>
          <w:rFonts w:hint="eastAsia" w:ascii="仿宋" w:hAnsi="仿宋" w:eastAsia="仿宋" w:cs="仿宋"/>
          <w:color w:val="231F20"/>
          <w:sz w:val="32"/>
          <w:szCs w:val="32"/>
          <w:shd w:val="clear" w:color="auto" w:fill="FFFFFF"/>
          <w:lang w:val="zh-CN"/>
        </w:rPr>
        <w:t>自评发现的主要问题：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预算项目个别指标设置存在不合理现象。</w:t>
      </w:r>
      <w:r>
        <w:rPr>
          <w:rFonts w:hint="eastAsia" w:ascii="仿宋_GB2312"/>
          <w:sz w:val="32"/>
          <w:szCs w:val="32"/>
        </w:rPr>
        <w:t>今后，我们将更加全面、细致地制定绩效目标，进一步严肃财经纪律，在实施中遵循“实事求是、尊重客观、力求精准”的原则，努力使项目资金落到实处。结合单位的实际和业务的特点，制定出台专项工作经费使用管理办法。加强资金的预算和管理使用，提高资金的使用效率。建议财政部门加强业务培训，组织相关单位人员学习交流以拓展工作思路。</w:t>
      </w:r>
    </w:p>
    <w:p>
      <w:pPr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五、自评</w:t>
      </w:r>
      <w:r>
        <w:rPr>
          <w:rFonts w:ascii="黑体" w:hAnsi="黑体" w:eastAsia="黑体" w:cs="黑体"/>
          <w:bCs/>
          <w:sz w:val="32"/>
          <w:szCs w:val="32"/>
        </w:rPr>
        <w:t>工作建议</w:t>
      </w:r>
      <w:r>
        <w:rPr>
          <w:rFonts w:hint="eastAsia" w:ascii="黑体" w:hAnsi="黑体" w:eastAsia="黑体" w:cs="黑体"/>
          <w:bCs/>
          <w:sz w:val="32"/>
          <w:szCs w:val="32"/>
        </w:rPr>
        <w:t>及</w:t>
      </w:r>
      <w:r>
        <w:rPr>
          <w:rFonts w:ascii="黑体" w:hAnsi="黑体" w:eastAsia="黑体" w:cs="黑体"/>
          <w:bCs/>
          <w:sz w:val="32"/>
          <w:szCs w:val="32"/>
        </w:rPr>
        <w:t>预算安排建议</w:t>
      </w:r>
    </w:p>
    <w:p>
      <w:pPr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仿宋" w:hAnsi="仿宋" w:eastAsia="仿宋" w:cs="MingLiU"/>
          <w:color w:val="231F20"/>
          <w:sz w:val="32"/>
          <w:szCs w:val="32"/>
          <w:lang w:val="zh-CN"/>
        </w:rPr>
        <w:t>为了做好预算绩效管理工作，我单位制定了具体措施，确定了专人负责，有效开展绩效管理工作。同时，加大了预算绩效的宣传力度，发现问题及时更正，保证了资金的安全和项目的正常运行。</w:t>
      </w:r>
    </w:p>
    <w:p>
      <w:pPr>
        <w:tabs>
          <w:tab w:val="left" w:pos="4862"/>
        </w:tabs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六</w:t>
      </w:r>
      <w:r>
        <w:rPr>
          <w:rFonts w:ascii="黑体" w:hAnsi="黑体" w:eastAsia="黑体" w:cs="黑体"/>
          <w:bCs/>
          <w:sz w:val="32"/>
          <w:szCs w:val="32"/>
        </w:rPr>
        <w:t>、</w:t>
      </w:r>
      <w:r>
        <w:rPr>
          <w:rFonts w:hint="eastAsia" w:ascii="黑体" w:hAnsi="黑体" w:eastAsia="黑体" w:cs="黑体"/>
          <w:bCs/>
          <w:sz w:val="32"/>
          <w:szCs w:val="32"/>
        </w:rPr>
        <w:t>其他需要说明的问题</w:t>
      </w:r>
      <w:r>
        <w:rPr>
          <w:rFonts w:ascii="黑体" w:hAnsi="黑体" w:eastAsia="黑体" w:cs="黑体"/>
          <w:bCs/>
          <w:sz w:val="32"/>
          <w:szCs w:val="32"/>
        </w:rPr>
        <w:tab/>
      </w:r>
    </w:p>
    <w:p>
      <w:pPr>
        <w:tabs>
          <w:tab w:val="left" w:pos="4862"/>
        </w:tabs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shd w:val="clear" w:color="auto" w:fill="FFFFFF"/>
        </w:rPr>
        <w:t>我单位没有其他需要说明的问题</w:t>
      </w:r>
    </w:p>
    <w:p>
      <w:pPr>
        <w:rPr>
          <w:sz w:val="32"/>
          <w:szCs w:val="32"/>
        </w:rPr>
      </w:pPr>
    </w:p>
    <w:p>
      <w:pPr>
        <w:tabs>
          <w:tab w:val="left" w:pos="620"/>
        </w:tabs>
        <w:rPr>
          <w:sz w:val="32"/>
          <w:szCs w:val="32"/>
        </w:rPr>
      </w:pPr>
    </w:p>
    <w:p>
      <w:pPr>
        <w:tabs>
          <w:tab w:val="left" w:pos="620"/>
        </w:tabs>
        <w:rPr>
          <w:sz w:val="32"/>
          <w:szCs w:val="32"/>
        </w:rPr>
      </w:pPr>
    </w:p>
    <w:p>
      <w:pPr>
        <w:tabs>
          <w:tab w:val="left" w:pos="620"/>
        </w:tabs>
        <w:rPr>
          <w:sz w:val="32"/>
          <w:szCs w:val="32"/>
        </w:rPr>
      </w:pPr>
    </w:p>
    <w:p>
      <w:pPr>
        <w:tabs>
          <w:tab w:val="left" w:pos="620"/>
        </w:tabs>
        <w:rPr>
          <w:sz w:val="32"/>
          <w:szCs w:val="32"/>
        </w:rPr>
      </w:pPr>
    </w:p>
    <w:sectPr>
      <w:pgSz w:w="11906" w:h="16838"/>
      <w:pgMar w:top="1077" w:right="1797" w:bottom="1418" w:left="1797" w:header="851" w:footer="992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30C4855"/>
    <w:multiLevelType w:val="singleLevel"/>
    <w:tmpl w:val="330C4855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50"/>
  <w:drawingGridVerticalSpacing w:val="20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OGE5NzRiM2ExMTdjOTYwMGViMGQyNTYxNTAxODE1MTMifQ=="/>
  </w:docVars>
  <w:rsids>
    <w:rsidRoot w:val="00F57F82"/>
    <w:rsid w:val="000101E1"/>
    <w:rsid w:val="00020916"/>
    <w:rsid w:val="00040106"/>
    <w:rsid w:val="000568BA"/>
    <w:rsid w:val="00091202"/>
    <w:rsid w:val="000931B3"/>
    <w:rsid w:val="000B5334"/>
    <w:rsid w:val="000C7227"/>
    <w:rsid w:val="000D7703"/>
    <w:rsid w:val="000E35B2"/>
    <w:rsid w:val="000F6BDF"/>
    <w:rsid w:val="00103D16"/>
    <w:rsid w:val="0014265E"/>
    <w:rsid w:val="00147EE8"/>
    <w:rsid w:val="001865C9"/>
    <w:rsid w:val="001871AC"/>
    <w:rsid w:val="001A0F29"/>
    <w:rsid w:val="001A1133"/>
    <w:rsid w:val="001A3E44"/>
    <w:rsid w:val="001C6088"/>
    <w:rsid w:val="001F06B3"/>
    <w:rsid w:val="002013C2"/>
    <w:rsid w:val="00261E61"/>
    <w:rsid w:val="0026348F"/>
    <w:rsid w:val="00263BFC"/>
    <w:rsid w:val="00266466"/>
    <w:rsid w:val="00291940"/>
    <w:rsid w:val="002939A0"/>
    <w:rsid w:val="00293B12"/>
    <w:rsid w:val="0029440F"/>
    <w:rsid w:val="002A2973"/>
    <w:rsid w:val="002C4144"/>
    <w:rsid w:val="002D020A"/>
    <w:rsid w:val="002D1126"/>
    <w:rsid w:val="002E0E77"/>
    <w:rsid w:val="002E4486"/>
    <w:rsid w:val="00302DC5"/>
    <w:rsid w:val="003131A0"/>
    <w:rsid w:val="003375EE"/>
    <w:rsid w:val="00357ADB"/>
    <w:rsid w:val="0039357D"/>
    <w:rsid w:val="003A3A5F"/>
    <w:rsid w:val="003D3816"/>
    <w:rsid w:val="00403402"/>
    <w:rsid w:val="00404E64"/>
    <w:rsid w:val="00406BCD"/>
    <w:rsid w:val="00411EBD"/>
    <w:rsid w:val="004121A9"/>
    <w:rsid w:val="00446AA9"/>
    <w:rsid w:val="00467D72"/>
    <w:rsid w:val="004B37F5"/>
    <w:rsid w:val="005154E8"/>
    <w:rsid w:val="005B25F9"/>
    <w:rsid w:val="005C6046"/>
    <w:rsid w:val="00607F30"/>
    <w:rsid w:val="00612C65"/>
    <w:rsid w:val="00643346"/>
    <w:rsid w:val="00660CA7"/>
    <w:rsid w:val="0069333E"/>
    <w:rsid w:val="006B1055"/>
    <w:rsid w:val="006B117E"/>
    <w:rsid w:val="006C2828"/>
    <w:rsid w:val="006E106F"/>
    <w:rsid w:val="006E5955"/>
    <w:rsid w:val="00720128"/>
    <w:rsid w:val="00731D2A"/>
    <w:rsid w:val="0073678B"/>
    <w:rsid w:val="007721C6"/>
    <w:rsid w:val="007810B3"/>
    <w:rsid w:val="00781435"/>
    <w:rsid w:val="007C1A98"/>
    <w:rsid w:val="007C3FB8"/>
    <w:rsid w:val="007F1D75"/>
    <w:rsid w:val="007F2BDE"/>
    <w:rsid w:val="008063D2"/>
    <w:rsid w:val="00816843"/>
    <w:rsid w:val="0081746D"/>
    <w:rsid w:val="00817D75"/>
    <w:rsid w:val="008353BC"/>
    <w:rsid w:val="00847870"/>
    <w:rsid w:val="00863E10"/>
    <w:rsid w:val="0086729E"/>
    <w:rsid w:val="00873E40"/>
    <w:rsid w:val="00876452"/>
    <w:rsid w:val="008A6189"/>
    <w:rsid w:val="008B074D"/>
    <w:rsid w:val="008D1192"/>
    <w:rsid w:val="008F27DA"/>
    <w:rsid w:val="00915E73"/>
    <w:rsid w:val="009423BB"/>
    <w:rsid w:val="009440D7"/>
    <w:rsid w:val="0095655A"/>
    <w:rsid w:val="009863FE"/>
    <w:rsid w:val="009A15F8"/>
    <w:rsid w:val="009B6CFF"/>
    <w:rsid w:val="009C2225"/>
    <w:rsid w:val="009C6D1F"/>
    <w:rsid w:val="00A13338"/>
    <w:rsid w:val="00A710E6"/>
    <w:rsid w:val="00A7654D"/>
    <w:rsid w:val="00A82770"/>
    <w:rsid w:val="00A8522E"/>
    <w:rsid w:val="00A96290"/>
    <w:rsid w:val="00A97EB4"/>
    <w:rsid w:val="00AA1379"/>
    <w:rsid w:val="00AA2B0C"/>
    <w:rsid w:val="00AE3F98"/>
    <w:rsid w:val="00AF392F"/>
    <w:rsid w:val="00AF4D10"/>
    <w:rsid w:val="00B03037"/>
    <w:rsid w:val="00B07A6C"/>
    <w:rsid w:val="00B32313"/>
    <w:rsid w:val="00B33813"/>
    <w:rsid w:val="00B3790C"/>
    <w:rsid w:val="00B509B5"/>
    <w:rsid w:val="00B51EAC"/>
    <w:rsid w:val="00B529C9"/>
    <w:rsid w:val="00B64F9E"/>
    <w:rsid w:val="00B737F9"/>
    <w:rsid w:val="00B740AB"/>
    <w:rsid w:val="00BB7F56"/>
    <w:rsid w:val="00BC40AF"/>
    <w:rsid w:val="00BD710F"/>
    <w:rsid w:val="00BF15EB"/>
    <w:rsid w:val="00BF7753"/>
    <w:rsid w:val="00C05752"/>
    <w:rsid w:val="00C0733B"/>
    <w:rsid w:val="00C44841"/>
    <w:rsid w:val="00C74617"/>
    <w:rsid w:val="00C954F9"/>
    <w:rsid w:val="00CA5025"/>
    <w:rsid w:val="00CB1995"/>
    <w:rsid w:val="00CC0899"/>
    <w:rsid w:val="00CD453E"/>
    <w:rsid w:val="00CF0910"/>
    <w:rsid w:val="00D433C7"/>
    <w:rsid w:val="00D924CE"/>
    <w:rsid w:val="00D936D3"/>
    <w:rsid w:val="00DA4305"/>
    <w:rsid w:val="00DA475D"/>
    <w:rsid w:val="00DA5A9F"/>
    <w:rsid w:val="00DB1114"/>
    <w:rsid w:val="00DC6A40"/>
    <w:rsid w:val="00DD6D9F"/>
    <w:rsid w:val="00DD7197"/>
    <w:rsid w:val="00DF51B4"/>
    <w:rsid w:val="00DF524C"/>
    <w:rsid w:val="00E608A9"/>
    <w:rsid w:val="00E64C60"/>
    <w:rsid w:val="00E70E03"/>
    <w:rsid w:val="00E87F65"/>
    <w:rsid w:val="00E95F83"/>
    <w:rsid w:val="00EB5127"/>
    <w:rsid w:val="00EE684A"/>
    <w:rsid w:val="00EE6A65"/>
    <w:rsid w:val="00F0069D"/>
    <w:rsid w:val="00F00B4F"/>
    <w:rsid w:val="00F067A5"/>
    <w:rsid w:val="00F40D96"/>
    <w:rsid w:val="00F57F82"/>
    <w:rsid w:val="00F66667"/>
    <w:rsid w:val="00F77295"/>
    <w:rsid w:val="00F84331"/>
    <w:rsid w:val="00F84451"/>
    <w:rsid w:val="00FA5D52"/>
    <w:rsid w:val="00FC3462"/>
    <w:rsid w:val="00FE5AC8"/>
    <w:rsid w:val="00FF6F75"/>
    <w:rsid w:val="00FF7954"/>
    <w:rsid w:val="0BD2776B"/>
    <w:rsid w:val="0E7B4B63"/>
    <w:rsid w:val="182769BA"/>
    <w:rsid w:val="19E40780"/>
    <w:rsid w:val="1A3C6C4F"/>
    <w:rsid w:val="1D8048F0"/>
    <w:rsid w:val="2C2935DB"/>
    <w:rsid w:val="2F760A90"/>
    <w:rsid w:val="31A433A6"/>
    <w:rsid w:val="332B6989"/>
    <w:rsid w:val="38D434BF"/>
    <w:rsid w:val="4A3809DD"/>
    <w:rsid w:val="4BA014AA"/>
    <w:rsid w:val="4CE64C36"/>
    <w:rsid w:val="51971756"/>
    <w:rsid w:val="5A2D025B"/>
    <w:rsid w:val="73C84AB9"/>
    <w:rsid w:val="78B40887"/>
    <w:rsid w:val="7BE14C3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iPriority="99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2"/>
    <w:unhideWhenUsed/>
    <w:qFormat/>
    <w:uiPriority w:val="99"/>
    <w:pPr>
      <w:shd w:val="clear" w:color="auto" w:fill="FFFFFF"/>
      <w:spacing w:line="382" w:lineRule="auto"/>
      <w:ind w:firstLine="400"/>
    </w:pPr>
    <w:rPr>
      <w:rFonts w:hint="eastAsia" w:ascii="MingLiU" w:eastAsia="MingLiU" w:cs="MingLiU"/>
      <w:color w:val="231F20"/>
      <w:szCs w:val="30"/>
      <w:lang w:val="zh-CN"/>
    </w:r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link w:val="5"/>
    <w:qFormat/>
    <w:uiPriority w:val="0"/>
    <w:rPr>
      <w:rFonts w:eastAsia="仿宋_GB2312"/>
      <w:kern w:val="2"/>
      <w:sz w:val="18"/>
      <w:szCs w:val="18"/>
    </w:rPr>
  </w:style>
  <w:style w:type="character" w:customStyle="1" w:styleId="10">
    <w:name w:val="页脚 Char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11">
    <w:name w:val="批注框文本 Char"/>
    <w:link w:val="3"/>
    <w:qFormat/>
    <w:uiPriority w:val="0"/>
    <w:rPr>
      <w:rFonts w:eastAsia="仿宋_GB2312"/>
      <w:kern w:val="2"/>
      <w:sz w:val="18"/>
      <w:szCs w:val="18"/>
    </w:rPr>
  </w:style>
  <w:style w:type="character" w:customStyle="1" w:styleId="12">
    <w:name w:val="正文文本 Char"/>
    <w:basedOn w:val="8"/>
    <w:link w:val="2"/>
    <w:qFormat/>
    <w:uiPriority w:val="99"/>
    <w:rPr>
      <w:rFonts w:ascii="MingLiU" w:eastAsia="MingLiU" w:cs="MingLiU"/>
      <w:color w:val="231F20"/>
      <w:kern w:val="2"/>
      <w:sz w:val="30"/>
      <w:szCs w:val="30"/>
      <w:shd w:val="clear" w:color="auto" w:fill="FFFFFF"/>
      <w:lang w:val="zh-CN"/>
    </w:rPr>
  </w:style>
  <w:style w:type="paragraph" w:customStyle="1" w:styleId="13">
    <w:name w:val="Body text|1"/>
    <w:basedOn w:val="1"/>
    <w:qFormat/>
    <w:uiPriority w:val="99"/>
    <w:pPr>
      <w:spacing w:line="439" w:lineRule="auto"/>
      <w:ind w:firstLine="400"/>
    </w:pPr>
    <w:rPr>
      <w:rFonts w:ascii="宋体" w:hAnsi="宋体" w:eastAsia="宋体" w:cs="宋体"/>
      <w:sz w:val="28"/>
      <w:szCs w:val="2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862</Words>
  <Characters>902</Characters>
  <Lines>6</Lines>
  <Paragraphs>1</Paragraphs>
  <TotalTime>1</TotalTime>
  <ScaleCrop>false</ScaleCrop>
  <LinksUpToDate>false</LinksUpToDate>
  <CharactersWithSpaces>905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2022-06-23T09:17:00Z</dcterms:created>
  <dc:creator>lhn</dc:creator>
  <cp:lastModifiedBy>Administrator</cp:lastModifiedBy>
  <cp:lastPrinted>2022-05-25T08:36:00Z</cp:lastPrinted>
  <dcterms:modified xsi:type="dcterms:W3CDTF">2022-10-27T06:48:28Z</dcterms:modified>
  <dc:title>财政支出绩效评价报告</dc:title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844C7A19EEA64A04A522A970FA9C022F</vt:lpwstr>
  </property>
</Properties>
</file>