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附件4</w:t>
      </w:r>
    </w:p>
    <w:p>
      <w:pPr>
        <w:rPr>
          <w:rFonts w:ascii="黑体" w:hAnsi="黑体" w:eastAsia="黑体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方正小标宋简体" w:hAnsi="Arial" w:eastAsia="方正小标宋简体" w:cs="Arial"/>
          <w:sz w:val="40"/>
          <w:szCs w:val="40"/>
          <w:lang w:val="en-US" w:eastAsia="zh-CN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高新区皇台小学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eastAsia="zh-CN"/>
        </w:rPr>
        <w:t>单位</w:t>
      </w:r>
      <w:r>
        <w:rPr>
          <w:rFonts w:hint="eastAsia" w:ascii="方正小标宋简体" w:hAnsi="Arial" w:eastAsia="方正小标宋简体" w:cs="Arial"/>
          <w:sz w:val="40"/>
          <w:szCs w:val="40"/>
        </w:rPr>
        <w:t>整体</w:t>
      </w:r>
      <w:r>
        <w:rPr>
          <w:rFonts w:hint="eastAsia" w:ascii="方正小标宋简体" w:hAnsi="Arial" w:eastAsia="方正小标宋简体" w:cs="Arial"/>
          <w:sz w:val="40"/>
          <w:szCs w:val="40"/>
          <w:lang w:eastAsia="zh-CN"/>
        </w:rPr>
        <w:t>绩效</w:t>
      </w:r>
      <w:r>
        <w:rPr>
          <w:rFonts w:hint="eastAsia" w:ascii="方正小标宋简体" w:hAnsi="Arial" w:eastAsia="方正小标宋简体" w:cs="Arial"/>
          <w:sz w:val="40"/>
          <w:szCs w:val="40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outlineLvl w:val="0"/>
        <w:rPr>
          <w:rFonts w:ascii="仿宋_GB2312"/>
          <w:color w:val="000000"/>
          <w:sz w:val="32"/>
        </w:rPr>
      </w:pPr>
      <w:r>
        <w:rPr>
          <w:rFonts w:hint="eastAsia" w:ascii="仿宋_GB2312"/>
          <w:color w:val="000000"/>
          <w:sz w:val="32"/>
        </w:rPr>
        <w:t>（</w:t>
      </w:r>
      <w:r>
        <w:rPr>
          <w:rFonts w:hint="eastAsia" w:ascii="仿宋_GB2312"/>
          <w:color w:val="000000"/>
          <w:sz w:val="32"/>
          <w:lang w:val="en-US" w:eastAsia="zh-CN"/>
        </w:rPr>
        <w:t>2021年度</w:t>
      </w:r>
      <w:r>
        <w:rPr>
          <w:rFonts w:hint="eastAsia" w:ascii="仿宋_GB2312"/>
          <w:color w:val="000000"/>
          <w:sz w:val="32"/>
        </w:rPr>
        <w:t>）</w:t>
      </w:r>
    </w:p>
    <w:p>
      <w:pPr>
        <w:outlineLvl w:val="0"/>
        <w:rPr>
          <w:rFonts w:ascii="仿宋_GB2312"/>
          <w:b/>
          <w:bCs/>
          <w:color w:val="000000"/>
        </w:rPr>
      </w:pP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总目标及主要任务。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本年度总目标是保障在职、退休人员正常办公、 生活秩序。完成各项资金支出进度要求，保障学校各项工作顺利开展，教学环境、 条件极大改善， 辐射和示范效应显著提升。主要任务是一是保障人员工资、奖金、社保及住房公积金，职工福利等基本支出。二是用于学校正常运转的公用经费支出。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outlineLvl w:val="0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年度</w:t>
      </w:r>
      <w:r>
        <w:rPr>
          <w:rFonts w:hint="eastAsia" w:ascii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/>
          <w:color w:val="000000"/>
          <w:sz w:val="32"/>
          <w:szCs w:val="32"/>
        </w:rPr>
        <w:t>整体预算绩效目标、绩效指标设定情况。</w:t>
      </w:r>
    </w:p>
    <w:p>
      <w:pPr>
        <w:pStyle w:val="2"/>
        <w:keepNext w:val="0"/>
        <w:keepLines w:val="0"/>
        <w:pageBreakBefore w:val="0"/>
        <w:tabs>
          <w:tab w:val="left" w:pos="16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本年绩效目标是保障在职、退休人员正常办公、 生活秩序。完成各项资金支出进度要求，保障学校各项工作顺利开展。教学环境、 条件极大改善， 辐射和示范效应显著提升。</w:t>
      </w:r>
    </w:p>
    <w:p>
      <w:pPr>
        <w:pStyle w:val="2"/>
        <w:keepNext w:val="0"/>
        <w:keepLines w:val="0"/>
        <w:pageBreakBefore w:val="0"/>
        <w:tabs>
          <w:tab w:val="left" w:pos="16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绩效指标设定情况如下：投入管理指标30分、产出指标25分、效益指标35分。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二、绩效自评工作开展情况</w:t>
      </w:r>
    </w:p>
    <w:p>
      <w:pPr>
        <w:pStyle w:val="2"/>
        <w:keepNext w:val="0"/>
        <w:keepLines w:val="0"/>
        <w:pageBreakBefore w:val="0"/>
        <w:tabs>
          <w:tab w:val="left" w:pos="129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从2021年决算上来看，2021年度一般公共预算财政拨款基本支出674.22万元。其 中：人员经费633.91万元，主要包括：基本工资、津贴补贴、绩效工资、机关事业单位基本养老保险缴费、职业年金 缴费、其他社会保障缴费、退休费、 抚恤金、生活补助、住房公积金、其他对个人和家庭的补助支出。</w:t>
      </w:r>
    </w:p>
    <w:p>
      <w:pPr>
        <w:pStyle w:val="2"/>
        <w:keepNext w:val="0"/>
        <w:keepLines w:val="0"/>
        <w:pageBreakBefore w:val="0"/>
        <w:tabs>
          <w:tab w:val="left" w:pos="129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default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  <w:t>公用经费40.31万 元，主要包括：办公费、水电费、 邮电费、取暖费、物业管理费、差旅费、维 修（护）费、培训费、工会经费、福利费、办公设备购置等。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三、综合评价结论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hint="default" w:ascii="仿宋_GB2312" w:hAnsi="宋体"/>
          <w:sz w:val="32"/>
          <w:szCs w:val="32"/>
        </w:rPr>
      </w:pPr>
      <w:r>
        <w:rPr>
          <w:rFonts w:hint="eastAsia" w:ascii="仿宋_GB2312" w:hAnsi="宋体"/>
          <w:sz w:val="32"/>
          <w:szCs w:val="32"/>
        </w:rPr>
        <w:t>经过单位自评，预算执行情况得分</w:t>
      </w:r>
      <w:r>
        <w:rPr>
          <w:rFonts w:hint="eastAsia" w:ascii="仿宋_GB2312" w:hAnsi="宋体"/>
          <w:sz w:val="32"/>
          <w:szCs w:val="32"/>
          <w:lang w:val="en-US" w:eastAsia="zh-CN"/>
        </w:rPr>
        <w:t>10</w:t>
      </w:r>
      <w:r>
        <w:rPr>
          <w:rFonts w:hint="eastAsia" w:ascii="仿宋_GB2312" w:hAnsi="宋体"/>
          <w:sz w:val="32"/>
          <w:szCs w:val="32"/>
        </w:rPr>
        <w:t>分，</w:t>
      </w:r>
      <w:r>
        <w:rPr>
          <w:rFonts w:hint="eastAsia" w:ascii="仿宋_GB2312" w:hAnsi="宋体"/>
          <w:sz w:val="32"/>
          <w:szCs w:val="32"/>
          <w:lang w:val="en-US" w:eastAsia="zh-CN"/>
        </w:rPr>
        <w:t>投入管理指标</w:t>
      </w:r>
      <w:r>
        <w:rPr>
          <w:rFonts w:hint="eastAsia" w:ascii="仿宋_GB2312" w:hAnsi="宋体"/>
          <w:sz w:val="32"/>
          <w:szCs w:val="32"/>
        </w:rPr>
        <w:t>得分</w:t>
      </w:r>
      <w:r>
        <w:rPr>
          <w:rFonts w:hint="eastAsia" w:ascii="仿宋_GB2312" w:hAnsi="宋体"/>
          <w:sz w:val="32"/>
          <w:szCs w:val="32"/>
          <w:lang w:val="en-US" w:eastAsia="zh-CN"/>
        </w:rPr>
        <w:t>28</w:t>
      </w:r>
      <w:r>
        <w:rPr>
          <w:rFonts w:hint="eastAsia" w:ascii="仿宋_GB2312" w:hAnsi="宋体"/>
          <w:sz w:val="32"/>
          <w:szCs w:val="32"/>
        </w:rPr>
        <w:t>分，</w:t>
      </w:r>
      <w:r>
        <w:rPr>
          <w:rFonts w:hint="eastAsia" w:ascii="仿宋_GB2312" w:hAnsi="宋体"/>
          <w:sz w:val="32"/>
          <w:szCs w:val="32"/>
          <w:lang w:val="en-US" w:eastAsia="zh-CN"/>
        </w:rPr>
        <w:t>产出指标</w:t>
      </w:r>
      <w:r>
        <w:rPr>
          <w:rFonts w:hint="eastAsia" w:ascii="仿宋_GB2312" w:hAnsi="宋体"/>
          <w:sz w:val="32"/>
          <w:szCs w:val="32"/>
        </w:rPr>
        <w:t>得分</w:t>
      </w:r>
      <w:r>
        <w:rPr>
          <w:rFonts w:hint="eastAsia" w:ascii="仿宋_GB2312" w:hAnsi="宋体"/>
          <w:sz w:val="32"/>
          <w:szCs w:val="32"/>
          <w:lang w:eastAsia="zh-CN"/>
        </w:rPr>
        <w:t>2</w:t>
      </w:r>
      <w:r>
        <w:rPr>
          <w:rFonts w:hint="default" w:ascii="仿宋_GB2312" w:hAnsi="宋体"/>
          <w:sz w:val="32"/>
          <w:szCs w:val="32"/>
        </w:rPr>
        <w:t>5</w:t>
      </w:r>
      <w:r>
        <w:rPr>
          <w:rFonts w:hint="eastAsia" w:ascii="仿宋_GB2312" w:hAnsi="宋体"/>
          <w:sz w:val="32"/>
          <w:szCs w:val="32"/>
        </w:rPr>
        <w:t>分，</w:t>
      </w:r>
      <w:r>
        <w:rPr>
          <w:rFonts w:hint="eastAsia" w:ascii="仿宋_GB2312" w:hAnsi="宋体"/>
          <w:sz w:val="32"/>
          <w:szCs w:val="32"/>
          <w:lang w:val="en-US" w:eastAsia="zh-CN"/>
        </w:rPr>
        <w:t>效益指标</w:t>
      </w:r>
      <w:r>
        <w:rPr>
          <w:rFonts w:hint="eastAsia" w:ascii="仿宋_GB2312" w:hAnsi="宋体"/>
          <w:sz w:val="32"/>
          <w:szCs w:val="32"/>
        </w:rPr>
        <w:t>得分</w:t>
      </w:r>
      <w:r>
        <w:rPr>
          <w:rFonts w:hint="eastAsia" w:ascii="仿宋_GB2312" w:hAnsi="宋体"/>
          <w:sz w:val="32"/>
          <w:szCs w:val="32"/>
          <w:lang w:val="en-US" w:eastAsia="zh-CN"/>
        </w:rPr>
        <w:t>32</w:t>
      </w:r>
      <w:r>
        <w:rPr>
          <w:rFonts w:hint="eastAsia" w:ascii="仿宋_GB2312" w:hAnsi="宋体"/>
          <w:sz w:val="32"/>
          <w:szCs w:val="32"/>
        </w:rPr>
        <w:t>分。综合得分</w:t>
      </w:r>
      <w:r>
        <w:rPr>
          <w:rFonts w:hint="eastAsia" w:ascii="仿宋_GB2312" w:hAnsi="宋体"/>
          <w:sz w:val="32"/>
          <w:szCs w:val="32"/>
          <w:lang w:val="en-US" w:eastAsia="zh-CN"/>
        </w:rPr>
        <w:t>95</w:t>
      </w:r>
      <w:r>
        <w:rPr>
          <w:rFonts w:hint="eastAsia" w:ascii="仿宋_GB2312" w:hAnsi="宋体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四、绩效目标实现情况分析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outlineLvl w:val="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eastAsia="zh-CN"/>
        </w:rPr>
        <w:t>单位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资金情况分析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ascii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平顶山高新区</w:t>
      </w:r>
      <w:r>
        <w:rPr>
          <w:rFonts w:hint="default" w:ascii="仿宋_GB2312" w:hAnsi="宋体"/>
          <w:sz w:val="32"/>
          <w:szCs w:val="32"/>
        </w:rPr>
        <w:t>皇台小学</w:t>
      </w:r>
      <w:r>
        <w:rPr>
          <w:rFonts w:hint="eastAsia" w:ascii="仿宋_GB2312" w:hAnsi="宋体" w:eastAsia="仿宋_GB2312"/>
          <w:sz w:val="32"/>
          <w:szCs w:val="32"/>
        </w:rPr>
        <w:t>2021年收</w:t>
      </w:r>
      <w:r>
        <w:rPr>
          <w:rFonts w:hint="eastAsia" w:ascii="仿宋_GB2312" w:hAnsi="宋体"/>
          <w:sz w:val="32"/>
          <w:szCs w:val="32"/>
          <w:lang w:val="en-US" w:eastAsia="zh-CN"/>
        </w:rPr>
        <w:t>入总计为663.41万元</w:t>
      </w:r>
      <w:r>
        <w:rPr>
          <w:rFonts w:hint="eastAsia" w:ascii="仿宋_GB2312" w:hAnsi="宋体" w:eastAsia="仿宋_GB2312"/>
          <w:sz w:val="32"/>
          <w:szCs w:val="32"/>
        </w:rPr>
        <w:t>、支</w:t>
      </w:r>
      <w:r>
        <w:rPr>
          <w:rFonts w:hint="eastAsia" w:ascii="仿宋_GB2312" w:hAnsi="宋体"/>
          <w:sz w:val="32"/>
          <w:szCs w:val="32"/>
          <w:lang w:val="en-US" w:eastAsia="zh-CN"/>
        </w:rPr>
        <w:t>出</w:t>
      </w:r>
      <w:r>
        <w:rPr>
          <w:rFonts w:hint="eastAsia" w:ascii="仿宋_GB2312" w:hAnsi="宋体" w:eastAsia="仿宋_GB2312"/>
          <w:sz w:val="32"/>
          <w:szCs w:val="32"/>
        </w:rPr>
        <w:t>总计为</w:t>
      </w:r>
      <w:r>
        <w:rPr>
          <w:rFonts w:hint="eastAsia" w:ascii="仿宋_GB2312" w:hAnsi="宋体"/>
          <w:sz w:val="32"/>
          <w:szCs w:val="32"/>
          <w:lang w:val="en-US" w:eastAsia="zh-CN"/>
        </w:rPr>
        <w:t>674.22</w:t>
      </w:r>
      <w:r>
        <w:rPr>
          <w:rFonts w:hint="eastAsia" w:ascii="仿宋_GB2312" w:hAnsi="宋体" w:eastAsia="仿宋_GB2312"/>
          <w:sz w:val="32"/>
          <w:szCs w:val="32"/>
        </w:rPr>
        <w:t>万元，与上年相比，收</w:t>
      </w:r>
      <w:r>
        <w:rPr>
          <w:rFonts w:hint="eastAsia" w:ascii="仿宋_GB2312" w:hAnsi="宋体"/>
          <w:sz w:val="32"/>
          <w:szCs w:val="32"/>
          <w:lang w:val="en-US" w:eastAsia="zh-CN"/>
        </w:rPr>
        <w:t>入</w:t>
      </w:r>
      <w:r>
        <w:rPr>
          <w:rFonts w:hint="eastAsia" w:ascii="仿宋_GB2312" w:hAnsi="宋体" w:eastAsia="仿宋_GB2312"/>
          <w:sz w:val="32"/>
          <w:szCs w:val="32"/>
        </w:rPr>
        <w:t>总计减少</w:t>
      </w:r>
      <w:r>
        <w:rPr>
          <w:rFonts w:hint="default" w:ascii="仿宋_GB2312" w:hAnsi="宋体"/>
          <w:sz w:val="32"/>
          <w:szCs w:val="32"/>
        </w:rPr>
        <w:t>58.49</w:t>
      </w:r>
      <w:r>
        <w:rPr>
          <w:rFonts w:hint="eastAsia" w:ascii="仿宋_GB2312" w:hAnsi="宋体" w:eastAsia="仿宋_GB2312"/>
          <w:sz w:val="32"/>
          <w:szCs w:val="32"/>
        </w:rPr>
        <w:t>万元,下降</w:t>
      </w:r>
      <w:r>
        <w:rPr>
          <w:rFonts w:hint="eastAsia" w:ascii="仿宋_GB2312" w:hAnsi="宋体"/>
          <w:sz w:val="32"/>
          <w:szCs w:val="32"/>
          <w:lang w:val="en-US" w:eastAsia="zh-CN"/>
        </w:rPr>
        <w:t>8.10</w:t>
      </w:r>
      <w:r>
        <w:rPr>
          <w:rFonts w:hint="eastAsia" w:ascii="仿宋_GB2312" w:hAnsi="宋体" w:eastAsia="仿宋_GB2312"/>
          <w:sz w:val="32"/>
          <w:szCs w:val="32"/>
        </w:rPr>
        <w:t>%</w:t>
      </w:r>
      <w:r>
        <w:rPr>
          <w:rFonts w:hint="eastAsia" w:ascii="仿宋_GB2312" w:hAnsi="宋体"/>
          <w:sz w:val="32"/>
          <w:szCs w:val="32"/>
          <w:lang w:eastAsia="zh-CN"/>
        </w:rPr>
        <w:t>，</w:t>
      </w:r>
      <w:r>
        <w:rPr>
          <w:rFonts w:hint="eastAsia" w:ascii="仿宋_GB2312" w:hAnsi="宋体"/>
          <w:sz w:val="32"/>
          <w:szCs w:val="32"/>
          <w:lang w:val="en-US" w:eastAsia="zh-CN"/>
        </w:rPr>
        <w:t>支出总计减少47.68万元，下降6.60</w:t>
      </w:r>
      <w:r>
        <w:rPr>
          <w:rFonts w:hint="eastAsia" w:ascii="仿宋_GB2312" w:hAnsi="宋体" w:eastAsia="仿宋_GB2312"/>
          <w:sz w:val="32"/>
          <w:szCs w:val="32"/>
        </w:rPr>
        <w:t>%。主要原因：2021年减少了高新区</w:t>
      </w:r>
      <w:r>
        <w:rPr>
          <w:rFonts w:hint="eastAsia" w:ascii="仿宋_GB2312" w:hAnsi="宋体"/>
          <w:sz w:val="32"/>
          <w:szCs w:val="32"/>
          <w:lang w:val="en-US" w:eastAsia="zh-CN"/>
        </w:rPr>
        <w:t>皇台小学</w:t>
      </w:r>
      <w:r>
        <w:rPr>
          <w:rFonts w:hint="eastAsia" w:ascii="仿宋_GB2312" w:hAnsi="宋体" w:eastAsia="仿宋_GB2312"/>
          <w:sz w:val="32"/>
          <w:szCs w:val="32"/>
        </w:rPr>
        <w:t>建设项目和及配套设备资金。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outlineLvl w:val="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（二）项目绩效指标完成情况分析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1.投入管理指标</w:t>
      </w:r>
      <w:r>
        <w:rPr>
          <w:rFonts w:ascii="仿宋_GB2312"/>
          <w:sz w:val="32"/>
          <w:szCs w:val="32"/>
        </w:rPr>
        <w:t>完成</w:t>
      </w:r>
      <w:r>
        <w:rPr>
          <w:rFonts w:hint="eastAsia" w:ascii="仿宋_GB2312"/>
          <w:sz w:val="32"/>
          <w:szCs w:val="32"/>
        </w:rPr>
        <w:t>情况分析</w:t>
      </w:r>
    </w:p>
    <w:p>
      <w:pPr>
        <w:pStyle w:val="2"/>
        <w:spacing w:line="580" w:lineRule="exact"/>
        <w:ind w:firstLine="588" w:firstLineChars="200"/>
        <w:rPr>
          <w:rStyle w:val="11"/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11"/>
          <w:rFonts w:ascii="仿宋_GB2312" w:hAnsi="仿宋_GB2312" w:eastAsia="仿宋_GB2312" w:cs="仿宋_GB2312"/>
          <w:color w:val="auto"/>
          <w:sz w:val="32"/>
          <w:szCs w:val="32"/>
        </w:rPr>
        <w:t>工作目标完成情况：目标依据充分，工作目标合理，目标管理有效。</w:t>
      </w:r>
    </w:p>
    <w:p>
      <w:pPr>
        <w:pStyle w:val="2"/>
        <w:spacing w:line="580" w:lineRule="exact"/>
        <w:ind w:firstLine="660"/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11"/>
          <w:rFonts w:ascii="仿宋_GB2312" w:hAnsi="仿宋_GB2312" w:eastAsia="仿宋_GB2312" w:cs="仿宋_GB2312"/>
          <w:color w:val="auto"/>
          <w:sz w:val="32"/>
          <w:szCs w:val="32"/>
        </w:rPr>
        <w:t>预算管理情况：严格编制年初预算，</w:t>
      </w:r>
      <w:r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</w:rPr>
        <w:t>部门所有收入全部纳入部门预算；部门支出预算统筹各类资金来源，全部纳入部门预算管理。</w:t>
      </w:r>
      <w:r>
        <w:rPr>
          <w:rStyle w:val="11"/>
          <w:rFonts w:ascii="仿宋_GB2312" w:hAnsi="仿宋_GB2312" w:eastAsia="仿宋_GB2312" w:cs="仿宋_GB2312"/>
          <w:color w:val="auto"/>
          <w:sz w:val="32"/>
          <w:szCs w:val="32"/>
        </w:rPr>
        <w:t>细化专项资金，控制部门决算报告质量，国库集中支付合规合法。</w:t>
      </w:r>
    </w:p>
    <w:p>
      <w:pPr>
        <w:pStyle w:val="2"/>
        <w:spacing w:line="580" w:lineRule="exact"/>
        <w:ind w:firstLine="660"/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11"/>
          <w:rFonts w:ascii="仿宋_GB2312" w:hAnsi="仿宋_GB2312" w:eastAsia="仿宋_GB2312" w:cs="仿宋_GB2312"/>
          <w:color w:val="auto"/>
          <w:sz w:val="32"/>
          <w:szCs w:val="32"/>
        </w:rPr>
        <w:t>收支管理情况：收入管理规范，支出审批规范。</w:t>
      </w:r>
    </w:p>
    <w:p>
      <w:pPr>
        <w:pStyle w:val="2"/>
        <w:spacing w:line="580" w:lineRule="exact"/>
        <w:ind w:firstLine="660"/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11"/>
          <w:rFonts w:ascii="仿宋_GB2312" w:hAnsi="仿宋_GB2312" w:eastAsia="仿宋_GB2312" w:cs="仿宋_GB2312"/>
          <w:color w:val="auto"/>
          <w:sz w:val="32"/>
          <w:szCs w:val="32"/>
        </w:rPr>
        <w:t>财务管理情况：财务管理制度完善，单位零余额账户管理规范，政府采购合规，内控制度逐步完善。</w:t>
      </w:r>
    </w:p>
    <w:p>
      <w:pPr>
        <w:pStyle w:val="12"/>
        <w:spacing w:line="560" w:lineRule="exact"/>
        <w:ind w:firstLine="588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Style w:val="11"/>
          <w:rFonts w:ascii="仿宋_GB2312" w:hAnsi="仿宋_GB2312" w:eastAsia="仿宋_GB2312" w:cs="仿宋_GB2312"/>
          <w:color w:val="auto"/>
          <w:sz w:val="32"/>
          <w:szCs w:val="32"/>
        </w:rPr>
        <w:t>资产管理情况：国有资产管理规范，部门固定资产折旧依法计提。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重点工作任务</w:t>
      </w:r>
      <w:r>
        <w:rPr>
          <w:rFonts w:hint="eastAsia" w:ascii="仿宋_GB2312"/>
          <w:sz w:val="32"/>
          <w:szCs w:val="32"/>
          <w:lang w:val="en-US" w:eastAsia="zh-CN"/>
        </w:rPr>
        <w:t>已</w:t>
      </w:r>
      <w:r>
        <w:rPr>
          <w:rFonts w:hint="eastAsia" w:ascii="仿宋_GB2312"/>
          <w:sz w:val="32"/>
          <w:szCs w:val="32"/>
        </w:rPr>
        <w:t>完成、履职目标实现情况</w:t>
      </w:r>
      <w:r>
        <w:rPr>
          <w:rFonts w:hint="eastAsia" w:ascii="仿宋_GB2312"/>
          <w:sz w:val="32"/>
          <w:szCs w:val="32"/>
          <w:lang w:val="en-US" w:eastAsia="zh-CN"/>
        </w:rPr>
        <w:t>总体任务已完成</w:t>
      </w:r>
      <w:r>
        <w:rPr>
          <w:rFonts w:ascii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3</w:t>
      </w:r>
      <w:r>
        <w:rPr>
          <w:rFonts w:hint="eastAsia" w:ascii="仿宋_GB2312"/>
          <w:sz w:val="32"/>
          <w:szCs w:val="32"/>
        </w:rPr>
        <w:t>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年度工作目标实现率98%，教职工及家长对本单位服务的满意度98%</w:t>
      </w:r>
      <w:r>
        <w:rPr>
          <w:rFonts w:ascii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五、发现的主要问题和改进措施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ascii="仿宋_GB2312"/>
          <w:sz w:val="32"/>
          <w:szCs w:val="32"/>
        </w:rPr>
      </w:pPr>
      <w:r>
        <w:rPr>
          <w:rStyle w:val="11"/>
          <w:rFonts w:ascii="仿宋_GB2312" w:hAnsi="仿宋_GB2312" w:eastAsia="仿宋_GB2312" w:cs="仿宋_GB2312"/>
          <w:color w:val="auto"/>
          <w:sz w:val="32"/>
          <w:szCs w:val="32"/>
        </w:rPr>
        <w:t>通过自评发现，部门绩效管理实施虽取得了一定的成效，但还存在一些问题和不足，主要表现在：一是对绩效目标的认识和理解不到位，绩效目标设定的科学性、合理性不足；二是相关资料支撑不足，无法全面体现项目的服务效果，不能有效衡量服务对象满意度</w:t>
      </w:r>
      <w:r>
        <w:rPr>
          <w:rFonts w:hint="eastAsia" w:ascii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单位</w:t>
      </w:r>
      <w:r>
        <w:rPr>
          <w:rFonts w:hint="eastAsia" w:ascii="黑体" w:hAnsi="黑体" w:eastAsia="黑体" w:cs="黑体"/>
          <w:bCs/>
          <w:sz w:val="32"/>
          <w:szCs w:val="32"/>
        </w:rPr>
        <w:t>整体绩效自评结果拟应用和公开情况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Style w:val="11"/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 xml:space="preserve">   </w:t>
      </w:r>
      <w:r>
        <w:rPr>
          <w:rStyle w:val="11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及时依法公开。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588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单位</w:t>
      </w:r>
      <w:r>
        <w:rPr>
          <w:rFonts w:hint="eastAsia" w:ascii="黑体" w:hAnsi="黑体" w:eastAsia="黑体" w:cs="黑体"/>
          <w:bCs/>
          <w:sz w:val="32"/>
          <w:szCs w:val="32"/>
        </w:rPr>
        <w:t>整体绩效自评工作的经验、问题和建议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Style w:val="11"/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Hlk88210851"/>
      <w:r>
        <w:rPr>
          <w:rStyle w:val="11"/>
          <w:rFonts w:ascii="仿宋_GB2312" w:hAnsi="仿宋_GB2312" w:eastAsia="仿宋_GB2312" w:cs="仿宋_GB2312"/>
          <w:color w:val="auto"/>
          <w:sz w:val="32"/>
          <w:szCs w:val="32"/>
        </w:rPr>
        <w:t>为进一步提高财政资金使用效益，针对存在的问题，提出如下建议：一是提高预算绩效管理意识，注重预算绩效目标设置的科学性和合理性；二是在预算执行过程中，应注重过程留痕，用资料和数据客观反映项目成效，重视项目实施的服务对象满意度调查工作，充分反映项目实施的服务对象满意度效果</w:t>
      </w:r>
      <w:bookmarkEnd w:id="0"/>
      <w:r>
        <w:rPr>
          <w:rStyle w:val="11"/>
          <w:rFonts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八、其他需要说明的问题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88" w:firstLineChars="200"/>
        <w:textAlignment w:val="auto"/>
        <w:rPr>
          <w:rStyle w:val="11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Style w:val="11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无。</w:t>
      </w:r>
    </w:p>
    <w:p/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720" w:num="1"/>
      <w:docGrid w:type="linesAndChars" w:linePitch="606" w:charSpace="-532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348AC5"/>
    <w:multiLevelType w:val="singleLevel"/>
    <w:tmpl w:val="F7348AC5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010760C"/>
    <w:multiLevelType w:val="singleLevel"/>
    <w:tmpl w:val="1010760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2MDQ1ODA3NWU3ZjI3NTVhZTg5ZTVhNGUwNmYxYTMifQ=="/>
  </w:docVars>
  <w:rsids>
    <w:rsidRoot w:val="00C945F1"/>
    <w:rsid w:val="000066F3"/>
    <w:rsid w:val="00007D3D"/>
    <w:rsid w:val="00014178"/>
    <w:rsid w:val="00023C41"/>
    <w:rsid w:val="00025AB1"/>
    <w:rsid w:val="00080926"/>
    <w:rsid w:val="000A50B1"/>
    <w:rsid w:val="000C561F"/>
    <w:rsid w:val="00107096"/>
    <w:rsid w:val="00174027"/>
    <w:rsid w:val="001D0FE8"/>
    <w:rsid w:val="00231F71"/>
    <w:rsid w:val="002329CA"/>
    <w:rsid w:val="002A1601"/>
    <w:rsid w:val="002B25B1"/>
    <w:rsid w:val="0035434B"/>
    <w:rsid w:val="00405AE2"/>
    <w:rsid w:val="00405C47"/>
    <w:rsid w:val="004E61B2"/>
    <w:rsid w:val="004E7817"/>
    <w:rsid w:val="005520A5"/>
    <w:rsid w:val="00584CCB"/>
    <w:rsid w:val="00595B97"/>
    <w:rsid w:val="005A1A96"/>
    <w:rsid w:val="005B6326"/>
    <w:rsid w:val="005D1DFC"/>
    <w:rsid w:val="005E263C"/>
    <w:rsid w:val="006E016F"/>
    <w:rsid w:val="00735765"/>
    <w:rsid w:val="0084038F"/>
    <w:rsid w:val="0086127D"/>
    <w:rsid w:val="008762B9"/>
    <w:rsid w:val="008F39C6"/>
    <w:rsid w:val="00994F70"/>
    <w:rsid w:val="00AA3097"/>
    <w:rsid w:val="00B06CC7"/>
    <w:rsid w:val="00B12614"/>
    <w:rsid w:val="00B40D97"/>
    <w:rsid w:val="00C47558"/>
    <w:rsid w:val="00C524E0"/>
    <w:rsid w:val="00C86B00"/>
    <w:rsid w:val="00C945F1"/>
    <w:rsid w:val="00CD4B0E"/>
    <w:rsid w:val="00CD50D7"/>
    <w:rsid w:val="00D6561F"/>
    <w:rsid w:val="00D80BA2"/>
    <w:rsid w:val="00E06D11"/>
    <w:rsid w:val="00E2502F"/>
    <w:rsid w:val="00E43D7F"/>
    <w:rsid w:val="00EE67E7"/>
    <w:rsid w:val="00F22FE2"/>
    <w:rsid w:val="00F4795B"/>
    <w:rsid w:val="00FB255E"/>
    <w:rsid w:val="00FC3ED4"/>
    <w:rsid w:val="00FE1050"/>
    <w:rsid w:val="00FF1168"/>
    <w:rsid w:val="035B5712"/>
    <w:rsid w:val="09592761"/>
    <w:rsid w:val="0A422C56"/>
    <w:rsid w:val="10D02AF9"/>
    <w:rsid w:val="125D02DE"/>
    <w:rsid w:val="129B3AF1"/>
    <w:rsid w:val="13066AFF"/>
    <w:rsid w:val="13DD2F5C"/>
    <w:rsid w:val="14373691"/>
    <w:rsid w:val="15681628"/>
    <w:rsid w:val="1DC936C9"/>
    <w:rsid w:val="1FF21FB9"/>
    <w:rsid w:val="24160CE2"/>
    <w:rsid w:val="248C5333"/>
    <w:rsid w:val="249D1405"/>
    <w:rsid w:val="24C84C45"/>
    <w:rsid w:val="2B6D3380"/>
    <w:rsid w:val="2D401C87"/>
    <w:rsid w:val="319C0B7F"/>
    <w:rsid w:val="31F5098A"/>
    <w:rsid w:val="33426F15"/>
    <w:rsid w:val="337649B3"/>
    <w:rsid w:val="34864456"/>
    <w:rsid w:val="367B7B4D"/>
    <w:rsid w:val="3A7C292F"/>
    <w:rsid w:val="3DAC7481"/>
    <w:rsid w:val="432879A5"/>
    <w:rsid w:val="456A6B72"/>
    <w:rsid w:val="466106D7"/>
    <w:rsid w:val="466B3EEB"/>
    <w:rsid w:val="492921A2"/>
    <w:rsid w:val="54EB1759"/>
    <w:rsid w:val="54F07C16"/>
    <w:rsid w:val="56E86456"/>
    <w:rsid w:val="5E387ABD"/>
    <w:rsid w:val="5EE274C4"/>
    <w:rsid w:val="60CC7EC6"/>
    <w:rsid w:val="60E5449D"/>
    <w:rsid w:val="6515323E"/>
    <w:rsid w:val="65D81547"/>
    <w:rsid w:val="66D25CFD"/>
    <w:rsid w:val="66DE7884"/>
    <w:rsid w:val="68AD6BF3"/>
    <w:rsid w:val="69A41E76"/>
    <w:rsid w:val="6BF11ED7"/>
    <w:rsid w:val="6DCE3893"/>
    <w:rsid w:val="724D0AFE"/>
    <w:rsid w:val="74815758"/>
    <w:rsid w:val="75870D7F"/>
    <w:rsid w:val="761474AD"/>
    <w:rsid w:val="7BDC361F"/>
    <w:rsid w:val="7D632D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unhideWhenUsed/>
    <w:qFormat/>
    <w:uiPriority w:val="99"/>
    <w:pPr>
      <w:shd w:val="clear" w:color="auto" w:fill="FFFFFF"/>
      <w:spacing w:line="382" w:lineRule="auto"/>
      <w:ind w:firstLine="400"/>
      <w:jc w:val="both"/>
    </w:pPr>
    <w:rPr>
      <w:rFonts w:hint="eastAsia" w:ascii="MingLiU" w:eastAsia="MingLiU" w:cs="MingLiU"/>
      <w:color w:val="231F20"/>
      <w:kern w:val="2"/>
      <w:sz w:val="30"/>
      <w:szCs w:val="30"/>
      <w:lang w:val="zh-CN" w:eastAsia="zh-CN" w:bidi="ar-SA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semiHidden/>
    <w:qFormat/>
    <w:uiPriority w:val="0"/>
  </w:style>
  <w:style w:type="character" w:customStyle="1" w:styleId="9">
    <w:name w:val="页眉 Char"/>
    <w:link w:val="5"/>
    <w:semiHidden/>
    <w:qFormat/>
    <w:uiPriority w:val="99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3"/>
    <w:semiHidden/>
    <w:qFormat/>
    <w:uiPriority w:val="99"/>
    <w:rPr>
      <w:rFonts w:eastAsia="仿宋_GB2312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hint="eastAsia" w:ascii="MingLiU" w:eastAsia="MingLiU" w:cs="MingLiU"/>
      <w:color w:val="231F20"/>
      <w:kern w:val="2"/>
      <w:sz w:val="30"/>
      <w:szCs w:val="30"/>
      <w:lang w:val="zh-CN" w:eastAsia="zh-CN" w:bidi="ar-SA"/>
    </w:rPr>
  </w:style>
  <w:style w:type="paragraph" w:customStyle="1" w:styleId="12">
    <w:name w:val="Body text|1"/>
    <w:basedOn w:val="1"/>
    <w:qFormat/>
    <w:uiPriority w:val="0"/>
    <w:pPr>
      <w:spacing w:line="439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character" w:customStyle="1" w:styleId="13">
    <w:name w:val="正文文本 Char"/>
    <w:basedOn w:val="7"/>
    <w:link w:val="2"/>
    <w:unhideWhenUsed/>
    <w:qFormat/>
    <w:locked/>
    <w:uiPriority w:val="99"/>
    <w:rPr>
      <w:rFonts w:hint="eastAsia" w:ascii="MingLiU" w:eastAsia="MingLiU" w:cs="MingLiU"/>
      <w:color w:val="231F20"/>
      <w:sz w:val="30"/>
      <w:szCs w:val="3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1328</Words>
  <Characters>1398</Characters>
  <Lines>1</Lines>
  <Paragraphs>1</Paragraphs>
  <TotalTime>28</TotalTime>
  <ScaleCrop>false</ScaleCrop>
  <LinksUpToDate>false</LinksUpToDate>
  <CharactersWithSpaces>1416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2011-02-27T05:26:00Z</dcterms:created>
  <dc:creator>lhn</dc:creator>
  <cp:lastModifiedBy>Administrator</cp:lastModifiedBy>
  <cp:lastPrinted>2022-05-25T01:03:00Z</cp:lastPrinted>
  <dcterms:modified xsi:type="dcterms:W3CDTF">2023-01-12T09:23:22Z</dcterms:modified>
  <dc:title>附件3：          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E1EB72CC7D5644848776ABAFEAB8E627</vt:lpwstr>
  </property>
</Properties>
</file>