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line="585" w:lineRule="atLeast"/>
        <w:jc w:val="center"/>
        <w:rPr>
          <w:rFonts w:ascii="黑体" w:hAnsi="黑体" w:eastAsia="黑体" w:cs="Arial"/>
          <w:sz w:val="44"/>
          <w:szCs w:val="44"/>
        </w:rPr>
      </w:pPr>
      <w:r>
        <w:rPr>
          <w:rFonts w:hint="eastAsia" w:ascii="黑体" w:hAnsi="黑体" w:eastAsia="黑体" w:cs="Arial"/>
          <w:sz w:val="44"/>
          <w:szCs w:val="44"/>
        </w:rPr>
        <w:t>关于高新区2021年财政预算执行情况</w:t>
      </w:r>
    </w:p>
    <w:p>
      <w:pPr>
        <w:pStyle w:val="7"/>
        <w:widowControl w:val="0"/>
        <w:shd w:val="clear" w:color="auto" w:fill="FFFFFF"/>
        <w:autoSpaceDE w:val="0"/>
        <w:spacing w:line="580" w:lineRule="exact"/>
        <w:jc w:val="center"/>
        <w:rPr>
          <w:rFonts w:hint="eastAsia" w:ascii="黑体" w:hAnsi="黑体" w:eastAsia="黑体" w:cs="Arial"/>
          <w:sz w:val="44"/>
          <w:szCs w:val="44"/>
        </w:rPr>
      </w:pPr>
      <w:r>
        <w:rPr>
          <w:rFonts w:hint="eastAsia" w:ascii="黑体" w:hAnsi="黑体" w:eastAsia="黑体" w:cs="Arial"/>
          <w:sz w:val="44"/>
          <w:szCs w:val="44"/>
        </w:rPr>
        <w:t>和2022年财政预算(草案)的报告</w:t>
      </w:r>
    </w:p>
    <w:p>
      <w:pPr>
        <w:spacing w:line="560" w:lineRule="exact"/>
        <w:outlineLvl w:val="0"/>
        <w:rPr>
          <w:rFonts w:hint="eastAsia" w:ascii="黑体" w:hAnsi="黑体" w:eastAsia="黑体"/>
          <w:color w:val="000000"/>
          <w:sz w:val="36"/>
          <w:szCs w:val="36"/>
        </w:rPr>
      </w:pPr>
    </w:p>
    <w:p>
      <w:pPr>
        <w:pStyle w:val="7"/>
        <w:widowControl w:val="0"/>
        <w:shd w:val="clear" w:color="auto" w:fill="FFFFFF"/>
        <w:autoSpaceDE w:val="0"/>
        <w:spacing w:line="580" w:lineRule="exact"/>
        <w:ind w:firstLine="645"/>
        <w:jc w:val="both"/>
        <w:rPr>
          <w:rFonts w:ascii="微软雅黑" w:hAnsi="微软雅黑" w:eastAsia="微软雅黑"/>
          <w:sz w:val="21"/>
          <w:szCs w:val="21"/>
        </w:rPr>
      </w:pPr>
      <w:r>
        <w:rPr>
          <w:rFonts w:hint="eastAsia" w:ascii="黑体" w:hAnsi="黑体" w:eastAsia="黑体"/>
          <w:sz w:val="32"/>
          <w:szCs w:val="32"/>
        </w:rPr>
        <w:t>一、2021年财政预算执行情况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2021年，面对新冠疫情反弹和内外部环境变化带来的巨大压力，在平顶山市委、市政府和高新区党工委、管委会的正确领导下，高新区管委会团结带领区人民，以习近平新时代中国特色社会主义思想为指导，全面贯彻党的十九大和十九届历次全会精神，深入贯彻习近平总书记视察河南重要讲话重要指示，落实中央和省委、市委各项决策部署，统筹推进疫情防控和经济社会发展，抓实“六稳”“六保”，经济运行呈现变中趋稳、稳中有进态势。在此基础上，全区财政实现了收支平衡，运行总体平稳。</w:t>
      </w:r>
    </w:p>
    <w:p>
      <w:pPr>
        <w:pStyle w:val="7"/>
        <w:widowControl w:val="0"/>
        <w:shd w:val="clear" w:color="auto" w:fill="FFFFFF"/>
        <w:autoSpaceDE w:val="0"/>
        <w:spacing w:line="580" w:lineRule="exact"/>
        <w:ind w:firstLine="645"/>
        <w:jc w:val="both"/>
        <w:rPr>
          <w:rFonts w:ascii="楷体" w:hAnsi="楷体" w:eastAsia="楷体"/>
          <w:sz w:val="21"/>
          <w:szCs w:val="21"/>
        </w:rPr>
      </w:pPr>
      <w:r>
        <w:rPr>
          <w:rStyle w:val="21"/>
          <w:rFonts w:hint="eastAsia" w:ascii="楷体" w:hAnsi="楷体" w:eastAsia="楷体"/>
          <w:sz w:val="32"/>
          <w:szCs w:val="32"/>
        </w:rPr>
        <w:t>（一）一般公共预算</w:t>
      </w:r>
    </w:p>
    <w:p>
      <w:pPr>
        <w:spacing w:line="560" w:lineRule="exact"/>
        <w:ind w:firstLine="640" w:firstLineChars="200"/>
        <w:rPr>
          <w:rFonts w:ascii="仿宋_GB2312" w:hAnsi="文星仿宋" w:eastAsia="仿宋_GB2312"/>
          <w:color w:val="000000"/>
          <w:sz w:val="32"/>
          <w:szCs w:val="30"/>
        </w:rPr>
      </w:pPr>
      <w:r>
        <w:rPr>
          <w:rFonts w:hint="eastAsia" w:ascii="仿宋_GB2312" w:hAnsi="文星仿宋" w:eastAsia="仿宋_GB2312"/>
          <w:color w:val="000000"/>
          <w:sz w:val="32"/>
          <w:szCs w:val="30"/>
        </w:rPr>
        <w:t>经</w:t>
      </w:r>
      <w:r>
        <w:rPr>
          <w:rFonts w:hint="eastAsia" w:ascii="仿宋_GB2312" w:eastAsia="仿宋_GB2312" w:cs="仿宋_GB2312"/>
          <w:sz w:val="32"/>
          <w:szCs w:val="32"/>
        </w:rPr>
        <w:t>市十一届人大四次</w:t>
      </w:r>
      <w:r>
        <w:rPr>
          <w:rFonts w:hint="eastAsia" w:ascii="仿宋_GB2312" w:hAnsi="文星仿宋" w:eastAsia="仿宋_GB2312"/>
          <w:color w:val="000000"/>
          <w:sz w:val="32"/>
          <w:szCs w:val="30"/>
        </w:rPr>
        <w:t>会议批准，</w:t>
      </w:r>
      <w:r>
        <w:rPr>
          <w:rFonts w:ascii="仿宋_GB2312" w:hAnsi="文星仿宋" w:eastAsia="仿宋_GB2312"/>
          <w:color w:val="000000"/>
          <w:sz w:val="32"/>
          <w:szCs w:val="30"/>
        </w:rPr>
        <w:t>20</w:t>
      </w:r>
      <w:r>
        <w:rPr>
          <w:rFonts w:hint="eastAsia" w:ascii="仿宋_GB2312" w:hAnsi="文星仿宋" w:eastAsia="仿宋_GB2312"/>
          <w:color w:val="000000"/>
          <w:sz w:val="32"/>
          <w:szCs w:val="30"/>
        </w:rPr>
        <w:t>21年高新区一般公共预算收入年初预算为35156万元，实际完成41365万元，为预算的117.7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，比上年增加8297万元，增长25.1</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。其中：税收收入35939万元，为预算的111.8</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，增加8921万元，增长33</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，占一般公共预算收入的比重为86.9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；非税收入5426万元，为预算的180.9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，减少624万元，下降10.3</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。主要项目执行情况是：</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、增值税16994</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，为预算的136</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，增加7454</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，增长78.1</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2</w:t>
      </w:r>
      <w:r>
        <w:rPr>
          <w:rFonts w:hint="eastAsia" w:ascii="仿宋_GB2312" w:hAnsi="文星仿宋" w:eastAsia="仿宋_GB2312"/>
          <w:color w:val="000000"/>
          <w:sz w:val="32"/>
          <w:szCs w:val="30"/>
        </w:rPr>
        <w:t>、企业所得税3539</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，为预算的126.6</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，增加1093</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，增长44.7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3</w:t>
      </w:r>
      <w:r>
        <w:rPr>
          <w:rFonts w:hint="eastAsia" w:ascii="仿宋_GB2312" w:hAnsi="文星仿宋" w:eastAsia="仿宋_GB2312"/>
          <w:color w:val="000000"/>
          <w:sz w:val="32"/>
          <w:szCs w:val="30"/>
        </w:rPr>
        <w:t>、城市维护建设税等15406</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，为预算的91.4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，增加374</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，增长2.5</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adjustRightInd w:val="0"/>
        <w:snapToGrid w:val="0"/>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4</w:t>
      </w:r>
      <w:r>
        <w:rPr>
          <w:rFonts w:hint="eastAsia" w:ascii="仿宋_GB2312" w:hAnsi="文星仿宋" w:eastAsia="仿宋_GB2312"/>
          <w:color w:val="000000"/>
          <w:sz w:val="32"/>
          <w:szCs w:val="30"/>
        </w:rPr>
        <w:t>、专项收入等非税收入5426</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，为预算的180.9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，减少624</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，下降10.3</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hint="eastAsia" w:ascii="仿宋_GB2312" w:eastAsia="仿宋_GB2312" w:cs="仿宋_GB2312"/>
          <w:sz w:val="32"/>
          <w:szCs w:val="32"/>
        </w:rPr>
        <w:t>市十一届人大四次</w:t>
      </w:r>
      <w:r>
        <w:rPr>
          <w:rFonts w:hint="eastAsia" w:ascii="仿宋_GB2312" w:hAnsi="文星仿宋" w:eastAsia="仿宋_GB2312"/>
          <w:color w:val="000000"/>
          <w:sz w:val="32"/>
          <w:szCs w:val="30"/>
        </w:rPr>
        <w:t>会议批准的</w:t>
      </w:r>
      <w:r>
        <w:rPr>
          <w:rFonts w:ascii="仿宋_GB2312" w:hAnsi="文星仿宋" w:eastAsia="仿宋_GB2312"/>
          <w:color w:val="000000"/>
          <w:sz w:val="32"/>
          <w:szCs w:val="30"/>
        </w:rPr>
        <w:t>20</w:t>
      </w:r>
      <w:r>
        <w:rPr>
          <w:rFonts w:hint="eastAsia" w:ascii="仿宋_GB2312" w:hAnsi="文星仿宋" w:eastAsia="仿宋_GB2312"/>
          <w:color w:val="000000"/>
          <w:sz w:val="32"/>
          <w:szCs w:val="30"/>
        </w:rPr>
        <w:t>21年高新区一般公共预算支出年初预算为</w:t>
      </w:r>
      <w:r>
        <w:rPr>
          <w:rFonts w:hint="eastAsia" w:ascii="仿宋_GB2312" w:hAnsi="仿宋_GB2312" w:eastAsia="仿宋_GB2312" w:cs="仿宋_GB2312"/>
          <w:sz w:val="32"/>
          <w:szCs w:val="32"/>
        </w:rPr>
        <w:t>34499</w:t>
      </w:r>
      <w:r>
        <w:rPr>
          <w:rFonts w:hint="eastAsia" w:ascii="仿宋_GB2312" w:eastAsia="仿宋_GB2312" w:cs="仿宋_GB2312"/>
          <w:sz w:val="32"/>
          <w:szCs w:val="32"/>
        </w:rPr>
        <w:t>万元（含</w:t>
      </w:r>
      <w:r>
        <w:rPr>
          <w:rFonts w:ascii="仿宋_GB2312" w:eastAsia="仿宋_GB2312" w:cs="仿宋_GB2312"/>
          <w:sz w:val="32"/>
          <w:szCs w:val="32"/>
        </w:rPr>
        <w:t>线下债务还本支出</w:t>
      </w:r>
      <w:r>
        <w:rPr>
          <w:rFonts w:hint="eastAsia" w:ascii="仿宋_GB2312" w:hAnsi="仿宋_GB2312" w:eastAsia="仿宋_GB2312" w:cs="仿宋_GB2312"/>
          <w:sz w:val="32"/>
          <w:szCs w:val="32"/>
        </w:rPr>
        <w:t>2591</w:t>
      </w:r>
      <w:r>
        <w:rPr>
          <w:rFonts w:hint="eastAsia" w:ascii="仿宋_GB2312" w:eastAsia="仿宋_GB2312" w:cs="仿宋_GB2312"/>
          <w:sz w:val="32"/>
          <w:szCs w:val="32"/>
        </w:rPr>
        <w:t>万元）</w:t>
      </w:r>
      <w:r>
        <w:rPr>
          <w:rFonts w:hint="eastAsia" w:ascii="仿宋_GB2312" w:hAnsi="文星仿宋" w:eastAsia="仿宋_GB2312"/>
          <w:color w:val="000000"/>
          <w:sz w:val="32"/>
          <w:szCs w:val="30"/>
        </w:rPr>
        <w:t>，执行中因上级补助增加、新增地方政府债券和结余结转等安排的支出，</w:t>
      </w:r>
      <w:r>
        <w:rPr>
          <w:rFonts w:hint="eastAsia" w:ascii="仿宋_GB2312" w:eastAsia="仿宋_GB2312" w:cs="仿宋_GB2312"/>
          <w:sz w:val="32"/>
          <w:szCs w:val="32"/>
        </w:rPr>
        <w:t>支出预算调整为</w:t>
      </w:r>
      <w:r>
        <w:rPr>
          <w:rFonts w:hint="eastAsia" w:ascii="仿宋_GB2312" w:hAnsi="仿宋_GB2312" w:eastAsia="仿宋_GB2312" w:cs="仿宋_GB2312"/>
          <w:sz w:val="32"/>
          <w:szCs w:val="32"/>
        </w:rPr>
        <w:t>34688</w:t>
      </w:r>
      <w:r>
        <w:rPr>
          <w:rFonts w:hint="eastAsia" w:ascii="仿宋_GB2312" w:eastAsia="仿宋_GB2312" w:cs="仿宋_GB2312"/>
          <w:sz w:val="32"/>
          <w:szCs w:val="32"/>
        </w:rPr>
        <w:t>万元，实际完成</w:t>
      </w:r>
      <w:r>
        <w:rPr>
          <w:rFonts w:hint="eastAsia" w:ascii="仿宋_GB2312" w:hAnsi="仿宋_GB2312" w:eastAsia="仿宋_GB2312" w:cs="仿宋_GB2312"/>
          <w:sz w:val="32"/>
          <w:szCs w:val="32"/>
        </w:rPr>
        <w:t>34417</w:t>
      </w:r>
      <w:r>
        <w:rPr>
          <w:rFonts w:hint="eastAsia" w:ascii="仿宋_GB2312" w:eastAsia="仿宋_GB2312" w:cs="仿宋_GB2312"/>
          <w:sz w:val="32"/>
          <w:szCs w:val="32"/>
        </w:rPr>
        <w:t>万元，为调整预算的</w:t>
      </w:r>
      <w:r>
        <w:rPr>
          <w:rFonts w:hint="eastAsia" w:ascii="仿宋_GB2312" w:hAnsi="仿宋_GB2312" w:eastAsia="仿宋_GB2312" w:cs="仿宋_GB2312"/>
          <w:sz w:val="32"/>
          <w:szCs w:val="32"/>
        </w:rPr>
        <w:t>99.2%</w:t>
      </w:r>
      <w:r>
        <w:rPr>
          <w:rFonts w:hint="eastAsia" w:ascii="仿宋_GB2312" w:eastAsia="仿宋_GB2312" w:cs="仿宋_GB2312"/>
          <w:sz w:val="32"/>
          <w:szCs w:val="32"/>
        </w:rPr>
        <w:t>，下降</w:t>
      </w:r>
      <w:r>
        <w:rPr>
          <w:rFonts w:hint="eastAsia" w:ascii="仿宋_GB2312" w:hAnsi="仿宋_GB2312" w:eastAsia="仿宋_GB2312" w:cs="仿宋_GB2312"/>
          <w:sz w:val="32"/>
          <w:szCs w:val="32"/>
        </w:rPr>
        <w:t>8.2%</w:t>
      </w:r>
      <w:r>
        <w:rPr>
          <w:rFonts w:hint="eastAsia" w:ascii="仿宋_GB2312" w:eastAsia="仿宋_GB2312" w:cs="仿宋_GB2312"/>
          <w:sz w:val="32"/>
          <w:szCs w:val="32"/>
        </w:rPr>
        <w:t>。</w:t>
      </w:r>
      <w:r>
        <w:rPr>
          <w:rFonts w:hint="eastAsia" w:ascii="仿宋_GB2312" w:hAnsi="文星仿宋" w:eastAsia="仿宋_GB2312"/>
          <w:color w:val="000000"/>
          <w:sz w:val="32"/>
          <w:szCs w:val="30"/>
        </w:rPr>
        <w:t>主要项目执行情况是：</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、一般公共服务支出7792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，为预算的97.4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，减少1253</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，下降13.9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2</w:t>
      </w:r>
      <w:r>
        <w:rPr>
          <w:rFonts w:hint="eastAsia" w:ascii="仿宋_GB2312" w:hAnsi="文星仿宋" w:eastAsia="仿宋_GB2312"/>
          <w:color w:val="000000"/>
          <w:sz w:val="32"/>
          <w:szCs w:val="30"/>
        </w:rPr>
        <w:t>、公共安全支出802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，为预算的95</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，增加71</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，增长9.7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3</w:t>
      </w:r>
      <w:r>
        <w:rPr>
          <w:rFonts w:hint="eastAsia" w:ascii="仿宋_GB2312" w:hAnsi="文星仿宋" w:eastAsia="仿宋_GB2312"/>
          <w:color w:val="000000"/>
          <w:sz w:val="32"/>
          <w:szCs w:val="30"/>
        </w:rPr>
        <w:t>、教育支出5208</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，为预算的99.8</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，减少1276</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，下降19.7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。主要原因是</w:t>
      </w:r>
      <w:r>
        <w:rPr>
          <w:rFonts w:hint="eastAsia" w:ascii="仿宋_GB2312" w:eastAsia="仿宋_GB2312" w:cs="宋体"/>
          <w:color w:val="000000"/>
          <w:kern w:val="0"/>
          <w:sz w:val="32"/>
          <w:szCs w:val="32"/>
          <w:lang w:val="zh-CN"/>
        </w:rPr>
        <w:t>土地出让金收益计提教育资金安排的支出</w:t>
      </w:r>
      <w:r>
        <w:rPr>
          <w:rFonts w:hint="eastAsia" w:ascii="仿宋_GB2312" w:hAnsi="文星仿宋" w:eastAsia="仿宋_GB2312"/>
          <w:color w:val="000000"/>
          <w:sz w:val="32"/>
          <w:szCs w:val="30"/>
        </w:rPr>
        <w:t>减少。</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4</w:t>
      </w:r>
      <w:r>
        <w:rPr>
          <w:rFonts w:hint="eastAsia" w:ascii="仿宋_GB2312" w:hAnsi="文星仿宋" w:eastAsia="仿宋_GB2312"/>
          <w:color w:val="000000"/>
          <w:sz w:val="32"/>
          <w:szCs w:val="30"/>
        </w:rPr>
        <w:t>、科学技术支出3172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，增加1438</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，增长82.9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5</w:t>
      </w:r>
      <w:r>
        <w:rPr>
          <w:rFonts w:hint="eastAsia" w:ascii="仿宋_GB2312" w:hAnsi="文星仿宋" w:eastAsia="仿宋_GB2312"/>
          <w:color w:val="000000"/>
          <w:sz w:val="32"/>
          <w:szCs w:val="30"/>
        </w:rPr>
        <w:t>、文化体育与传媒支出92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，增加51万元，增长124.4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6</w:t>
      </w:r>
      <w:r>
        <w:rPr>
          <w:rFonts w:hint="eastAsia" w:ascii="仿宋_GB2312" w:hAnsi="文星仿宋" w:eastAsia="仿宋_GB2312"/>
          <w:color w:val="000000"/>
          <w:sz w:val="32"/>
          <w:szCs w:val="30"/>
        </w:rPr>
        <w:t>、社会保障和就业支出5412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，增加1852</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，增长52</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7</w:t>
      </w:r>
      <w:r>
        <w:rPr>
          <w:rFonts w:hint="eastAsia" w:ascii="仿宋_GB2312" w:hAnsi="文星仿宋" w:eastAsia="仿宋_GB2312"/>
          <w:color w:val="000000"/>
          <w:sz w:val="32"/>
          <w:szCs w:val="30"/>
        </w:rPr>
        <w:t>、卫生健康支出3497</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，减少831</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，下降19.2</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8</w:t>
      </w:r>
      <w:r>
        <w:rPr>
          <w:rFonts w:hint="eastAsia" w:ascii="仿宋_GB2312" w:hAnsi="文星仿宋" w:eastAsia="仿宋_GB2312"/>
          <w:color w:val="000000"/>
          <w:sz w:val="32"/>
          <w:szCs w:val="30"/>
        </w:rPr>
        <w:t>、节能环保支出1006万元，为预算的99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，减少4万元，下降0.4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9</w:t>
      </w:r>
      <w:r>
        <w:rPr>
          <w:rFonts w:hint="eastAsia" w:ascii="仿宋_GB2312" w:hAnsi="文星仿宋" w:eastAsia="仿宋_GB2312"/>
          <w:color w:val="000000"/>
          <w:sz w:val="32"/>
          <w:szCs w:val="30"/>
        </w:rPr>
        <w:t>、城乡社区支出1805万元，为预算的100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，增加148万元，增长8.9</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10</w:t>
      </w:r>
      <w:r>
        <w:rPr>
          <w:rFonts w:hint="eastAsia" w:ascii="仿宋_GB2312" w:hAnsi="文星仿宋" w:eastAsia="仿宋_GB2312"/>
          <w:color w:val="000000"/>
          <w:sz w:val="32"/>
          <w:szCs w:val="30"/>
        </w:rPr>
        <w:t>、农林水支出2989万元，为预算的</w:t>
      </w:r>
      <w:r>
        <w:rPr>
          <w:rFonts w:ascii="仿宋_GB2312" w:hAnsi="文星仿宋" w:eastAsia="仿宋_GB2312"/>
          <w:color w:val="000000"/>
          <w:sz w:val="32"/>
          <w:szCs w:val="30"/>
        </w:rPr>
        <w:t>100%</w:t>
      </w:r>
      <w:r>
        <w:rPr>
          <w:rFonts w:hint="eastAsia" w:ascii="仿宋_GB2312" w:hAnsi="文星仿宋" w:eastAsia="仿宋_GB2312"/>
          <w:color w:val="000000"/>
          <w:sz w:val="32"/>
          <w:szCs w:val="30"/>
        </w:rPr>
        <w:t>，减少613万元，下降17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1、交通运输支出380万元，为预算的</w:t>
      </w:r>
      <w:r>
        <w:rPr>
          <w:rFonts w:ascii="仿宋_GB2312" w:hAnsi="文星仿宋" w:eastAsia="仿宋_GB2312"/>
          <w:color w:val="000000"/>
          <w:sz w:val="32"/>
          <w:szCs w:val="30"/>
        </w:rPr>
        <w:t>100%</w:t>
      </w:r>
      <w:r>
        <w:rPr>
          <w:rFonts w:hint="eastAsia" w:ascii="仿宋_GB2312" w:hAnsi="文星仿宋" w:eastAsia="仿宋_GB2312"/>
          <w:color w:val="000000"/>
          <w:sz w:val="32"/>
          <w:szCs w:val="30"/>
        </w:rPr>
        <w:t>，减少342万元，下降47.4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2、资源勘探信息等支出129万元，为预算的100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，减少175万元，下降57.6</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3、商业服务业等支出301万元，为预算的100</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，增加158万元，增长110.5</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4、住房保障支出842万元，为预算的99.8</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，减少1542万元，下降64.7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hint="eastAsia" w:ascii="仿宋_GB2312" w:hAnsi="文星仿宋" w:eastAsia="仿宋_GB2312"/>
          <w:color w:val="000000"/>
          <w:sz w:val="32"/>
          <w:szCs w:val="30"/>
        </w:rPr>
        <w:t>15、灾害防治及应急管理支出303万元，为预算的</w:t>
      </w:r>
      <w:r>
        <w:rPr>
          <w:rFonts w:ascii="仿宋_GB2312" w:hAnsi="文星仿宋" w:eastAsia="仿宋_GB2312"/>
          <w:color w:val="000000"/>
          <w:sz w:val="32"/>
          <w:szCs w:val="30"/>
        </w:rPr>
        <w:t>100%</w:t>
      </w:r>
      <w:r>
        <w:rPr>
          <w:rFonts w:hint="eastAsia" w:ascii="仿宋_GB2312" w:hAnsi="文星仿宋" w:eastAsia="仿宋_GB2312"/>
          <w:color w:val="000000"/>
          <w:sz w:val="32"/>
          <w:szCs w:val="30"/>
        </w:rPr>
        <w:t>，增加47万元，增长18.4</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6、其他支出31万元，为预算的</w:t>
      </w:r>
      <w:r>
        <w:rPr>
          <w:rFonts w:ascii="仿宋_GB2312" w:hAnsi="文星仿宋" w:eastAsia="仿宋_GB2312"/>
          <w:color w:val="000000"/>
          <w:sz w:val="32"/>
          <w:szCs w:val="30"/>
        </w:rPr>
        <w:t>100%</w:t>
      </w:r>
      <w:r>
        <w:rPr>
          <w:rFonts w:hint="eastAsia" w:ascii="仿宋_GB2312" w:hAnsi="文星仿宋" w:eastAsia="仿宋_GB2312"/>
          <w:color w:val="000000"/>
          <w:sz w:val="32"/>
          <w:szCs w:val="30"/>
        </w:rPr>
        <w:t>，减少701万元，下降95.8</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。主要是老工业地区振兴发展转移支付减少。</w:t>
      </w:r>
    </w:p>
    <w:p>
      <w:pPr>
        <w:spacing w:line="560" w:lineRule="exact"/>
        <w:ind w:firstLine="640" w:firstLineChars="200"/>
        <w:rPr>
          <w:rFonts w:ascii="仿宋_GB2312" w:hAnsi="文星仿宋" w:eastAsia="仿宋_GB2312"/>
          <w:color w:val="000000"/>
          <w:sz w:val="32"/>
          <w:szCs w:val="30"/>
        </w:rPr>
      </w:pPr>
      <w:r>
        <w:rPr>
          <w:rFonts w:ascii="仿宋_GB2312" w:hAnsi="文星仿宋" w:eastAsia="仿宋_GB2312"/>
          <w:color w:val="000000"/>
          <w:sz w:val="32"/>
          <w:szCs w:val="30"/>
        </w:rPr>
        <w:t>1</w:t>
      </w:r>
      <w:r>
        <w:rPr>
          <w:rFonts w:hint="eastAsia" w:ascii="仿宋_GB2312" w:hAnsi="文星仿宋" w:eastAsia="仿宋_GB2312"/>
          <w:color w:val="000000"/>
          <w:sz w:val="32"/>
          <w:szCs w:val="30"/>
        </w:rPr>
        <w:t>7、债务付息支出645万元，为预算的</w:t>
      </w:r>
      <w:r>
        <w:rPr>
          <w:rFonts w:ascii="仿宋_GB2312" w:hAnsi="文星仿宋" w:eastAsia="仿宋_GB2312"/>
          <w:color w:val="000000"/>
          <w:sz w:val="32"/>
          <w:szCs w:val="30"/>
        </w:rPr>
        <w:t>100%</w:t>
      </w:r>
      <w:r>
        <w:rPr>
          <w:rFonts w:hint="eastAsia" w:ascii="仿宋_GB2312" w:hAnsi="文星仿宋" w:eastAsia="仿宋_GB2312"/>
          <w:color w:val="000000"/>
          <w:sz w:val="32"/>
          <w:szCs w:val="30"/>
        </w:rPr>
        <w:t>，增加18万元，增长2.8</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spacing w:line="560" w:lineRule="exact"/>
        <w:ind w:firstLine="640" w:firstLineChars="200"/>
        <w:rPr>
          <w:rFonts w:hint="eastAsia" w:ascii="仿宋_GB2312" w:hAnsi="文星仿宋" w:eastAsia="仿宋_GB2312"/>
          <w:color w:val="000000"/>
          <w:sz w:val="32"/>
          <w:szCs w:val="30"/>
        </w:rPr>
      </w:pPr>
      <w:r>
        <w:rPr>
          <w:rFonts w:hint="eastAsia" w:ascii="仿宋_GB2312" w:hAnsi="文星仿宋" w:eastAsia="仿宋_GB2312"/>
          <w:color w:val="000000"/>
          <w:sz w:val="32"/>
          <w:szCs w:val="30"/>
        </w:rPr>
        <w:t>汇总以上科目，教育、社会保障和就业、卫生健康、文化体育与传媒、农林水、交通运输、节能环保、住房保障、城乡社区等民生支出合计</w:t>
      </w:r>
      <w:r>
        <w:rPr>
          <w:rFonts w:hint="eastAsia" w:ascii="仿宋_GB2312" w:hAnsi="文星仿宋" w:eastAsia="仿宋_GB2312"/>
          <w:color w:val="000000"/>
          <w:sz w:val="32"/>
          <w:szCs w:val="32"/>
        </w:rPr>
        <w:t>21231</w:t>
      </w:r>
      <w:r>
        <w:rPr>
          <w:rFonts w:hint="eastAsia" w:ascii="仿宋_GB2312" w:eastAsia="仿宋_GB2312"/>
          <w:color w:val="000000"/>
          <w:sz w:val="32"/>
          <w:szCs w:val="32"/>
        </w:rPr>
        <w:t>万元</w:t>
      </w:r>
      <w:r>
        <w:rPr>
          <w:rFonts w:hint="eastAsia" w:ascii="仿宋_GB2312" w:hAnsi="文星仿宋" w:eastAsia="仿宋_GB2312"/>
          <w:color w:val="000000"/>
          <w:sz w:val="32"/>
          <w:szCs w:val="30"/>
        </w:rPr>
        <w:t>，占一般公共预算支出的比重达到61.7</w:t>
      </w:r>
      <w:r>
        <w:rPr>
          <w:rFonts w:ascii="仿宋_GB2312" w:hAnsi="文星仿宋" w:eastAsia="仿宋_GB2312"/>
          <w:color w:val="000000"/>
          <w:sz w:val="32"/>
          <w:szCs w:val="30"/>
        </w:rPr>
        <w:t>%</w:t>
      </w:r>
      <w:r>
        <w:rPr>
          <w:rFonts w:hint="eastAsia" w:ascii="仿宋_GB2312" w:hAnsi="文星仿宋" w:eastAsia="仿宋_GB2312"/>
          <w:color w:val="000000"/>
          <w:sz w:val="32"/>
          <w:szCs w:val="30"/>
        </w:rPr>
        <w:t>。</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（二）政府性基金预算</w:t>
      </w:r>
    </w:p>
    <w:p>
      <w:pPr>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按照市与区新财政体制</w:t>
      </w:r>
      <w:r>
        <w:rPr>
          <w:rFonts w:ascii="仿宋_GB2312" w:eastAsia="仿宋_GB2312"/>
          <w:color w:val="000000"/>
          <w:sz w:val="32"/>
          <w:szCs w:val="32"/>
        </w:rPr>
        <w:t>,</w:t>
      </w:r>
      <w:r>
        <w:rPr>
          <w:rFonts w:hint="eastAsia" w:ascii="仿宋_GB2312" w:eastAsia="仿宋_GB2312"/>
          <w:color w:val="000000"/>
          <w:sz w:val="32"/>
          <w:szCs w:val="32"/>
        </w:rPr>
        <w:t>政府性基金预算已并入市级基金预算</w:t>
      </w:r>
      <w:r>
        <w:rPr>
          <w:rFonts w:ascii="仿宋_GB2312" w:eastAsia="仿宋_GB2312"/>
          <w:color w:val="000000"/>
          <w:sz w:val="32"/>
          <w:szCs w:val="32"/>
        </w:rPr>
        <w:t>,</w:t>
      </w:r>
      <w:r>
        <w:rPr>
          <w:rFonts w:hint="eastAsia" w:ascii="仿宋_GB2312" w:eastAsia="仿宋_GB2312"/>
          <w:color w:val="000000"/>
          <w:sz w:val="32"/>
          <w:szCs w:val="32"/>
        </w:rPr>
        <w:t>区本级仅安排上级提前下达补助资金220万元。执行中上级补助政府性基金预算收入414万元，调入资金5886万元，</w:t>
      </w:r>
      <w:r>
        <w:rPr>
          <w:rFonts w:ascii="仿宋_GB2312" w:eastAsia="仿宋_GB2312"/>
          <w:color w:val="000000"/>
          <w:sz w:val="32"/>
          <w:szCs w:val="32"/>
        </w:rPr>
        <w:t>增加</w:t>
      </w:r>
      <w:r>
        <w:rPr>
          <w:rFonts w:hint="eastAsia" w:ascii="仿宋_GB2312" w:eastAsia="仿宋_GB2312"/>
          <w:color w:val="000000"/>
          <w:sz w:val="32"/>
          <w:szCs w:val="32"/>
        </w:rPr>
        <w:t>地方政府专项债务转贷收入2450</w:t>
      </w:r>
      <w:r>
        <w:rPr>
          <w:rFonts w:ascii="仿宋_GB2312" w:eastAsia="仿宋_GB2312"/>
          <w:color w:val="000000"/>
          <w:sz w:val="32"/>
          <w:szCs w:val="32"/>
        </w:rPr>
        <w:t>万元，</w:t>
      </w:r>
      <w:r>
        <w:rPr>
          <w:rFonts w:hint="eastAsia" w:ascii="仿宋_GB2312" w:eastAsia="仿宋_GB2312"/>
          <w:color w:val="000000"/>
          <w:sz w:val="32"/>
          <w:szCs w:val="32"/>
        </w:rPr>
        <w:t>结余结转收入213万元，收入总计为8963万元。</w:t>
      </w:r>
      <w:r>
        <w:rPr>
          <w:rFonts w:ascii="仿宋_GB2312" w:eastAsia="仿宋_GB2312"/>
          <w:color w:val="000000"/>
          <w:sz w:val="32"/>
          <w:szCs w:val="32"/>
        </w:rPr>
        <w:t xml:space="preserve"> </w:t>
      </w:r>
      <w:r>
        <w:rPr>
          <w:rFonts w:hint="eastAsia" w:ascii="仿宋_GB2312" w:eastAsia="仿宋_GB2312"/>
          <w:color w:val="000000"/>
          <w:sz w:val="32"/>
          <w:szCs w:val="32"/>
        </w:rPr>
        <w:t>执行中实际完成8963万元（含债务转贷还本支出3445万元），为调整预算的100</w:t>
      </w:r>
      <w:r>
        <w:rPr>
          <w:rFonts w:ascii="仿宋_GB2312" w:eastAsia="仿宋_GB2312"/>
          <w:color w:val="000000"/>
          <w:sz w:val="32"/>
          <w:szCs w:val="32"/>
        </w:rPr>
        <w:t>%</w:t>
      </w:r>
      <w:r>
        <w:rPr>
          <w:rFonts w:hint="eastAsia" w:ascii="仿宋_GB2312" w:eastAsia="仿宋_GB2312"/>
          <w:color w:val="000000"/>
          <w:sz w:val="32"/>
          <w:szCs w:val="32"/>
        </w:rPr>
        <w:t>，比上年减少43875万元，下降88.8</w:t>
      </w:r>
      <w:r>
        <w:rPr>
          <w:rFonts w:ascii="仿宋_GB2312" w:eastAsia="仿宋_GB2312"/>
          <w:color w:val="000000"/>
          <w:sz w:val="32"/>
          <w:szCs w:val="32"/>
        </w:rPr>
        <w:t>%</w:t>
      </w:r>
      <w:r>
        <w:rPr>
          <w:rFonts w:hint="eastAsia" w:ascii="仿宋_GB2312" w:eastAsia="仿宋_GB2312"/>
          <w:color w:val="000000"/>
          <w:sz w:val="32"/>
          <w:szCs w:val="32"/>
        </w:rPr>
        <w:t>。主要项目执行情况是：</w:t>
      </w:r>
    </w:p>
    <w:p>
      <w:pPr>
        <w:snapToGrid w:val="0"/>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、社会保障和就业支出97万元，为预算的100</w:t>
      </w:r>
      <w:r>
        <w:rPr>
          <w:rFonts w:ascii="仿宋_GB2312" w:eastAsia="仿宋_GB2312"/>
          <w:color w:val="000000"/>
          <w:sz w:val="32"/>
          <w:szCs w:val="32"/>
        </w:rPr>
        <w:t>%</w:t>
      </w:r>
      <w:r>
        <w:rPr>
          <w:rFonts w:hint="eastAsia" w:ascii="仿宋_GB2312" w:eastAsia="仿宋_GB2312"/>
          <w:color w:val="000000"/>
          <w:sz w:val="32"/>
          <w:szCs w:val="32"/>
        </w:rPr>
        <w:t>，增加15万元，增长18.3</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、彩票公益金安排的支出50万元，为预算的100</w:t>
      </w:r>
      <w:r>
        <w:rPr>
          <w:rFonts w:ascii="仿宋_GB2312" w:eastAsia="仿宋_GB2312"/>
          <w:color w:val="000000"/>
          <w:sz w:val="32"/>
          <w:szCs w:val="32"/>
        </w:rPr>
        <w:t>%</w:t>
      </w:r>
      <w:r>
        <w:rPr>
          <w:rFonts w:hint="eastAsia" w:ascii="仿宋_GB2312" w:eastAsia="仿宋_GB2312"/>
          <w:color w:val="000000"/>
          <w:sz w:val="32"/>
          <w:szCs w:val="32"/>
        </w:rPr>
        <w:t>，增加4万元，增长8.7</w:t>
      </w:r>
      <w:r>
        <w:rPr>
          <w:rFonts w:ascii="仿宋_GB2312" w:eastAsia="仿宋_GB2312"/>
          <w:color w:val="000000"/>
          <w:sz w:val="32"/>
          <w:szCs w:val="32"/>
        </w:rPr>
        <w:t>%</w:t>
      </w:r>
      <w:r>
        <w:rPr>
          <w:rFonts w:hint="eastAsia" w:ascii="仿宋_GB2312" w:eastAsia="仿宋_GB2312"/>
          <w:color w:val="000000"/>
          <w:sz w:val="32"/>
          <w:szCs w:val="32"/>
        </w:rPr>
        <w:t>。</w:t>
      </w:r>
    </w:p>
    <w:p>
      <w:pPr>
        <w:snapToGrid w:val="0"/>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、城乡社区安排的支出480万元，为预算的100</w:t>
      </w:r>
      <w:r>
        <w:rPr>
          <w:rFonts w:ascii="仿宋_GB2312" w:eastAsia="仿宋_GB2312"/>
          <w:color w:val="000000"/>
          <w:sz w:val="32"/>
          <w:szCs w:val="32"/>
        </w:rPr>
        <w:t>%</w:t>
      </w:r>
      <w:r>
        <w:rPr>
          <w:rFonts w:hint="eastAsia" w:ascii="仿宋_GB2312" w:eastAsia="仿宋_GB2312"/>
          <w:color w:val="000000"/>
          <w:sz w:val="32"/>
          <w:szCs w:val="32"/>
        </w:rPr>
        <w:t>，减少44567万元，下降98.9</w:t>
      </w:r>
      <w:r>
        <w:rPr>
          <w:rFonts w:ascii="仿宋_GB2312" w:eastAsia="仿宋_GB2312"/>
          <w:color w:val="000000"/>
          <w:sz w:val="32"/>
          <w:szCs w:val="32"/>
        </w:rPr>
        <w:t>%</w:t>
      </w:r>
      <w:r>
        <w:rPr>
          <w:rFonts w:hint="eastAsia" w:ascii="仿宋_GB2312" w:eastAsia="仿宋_GB2312"/>
          <w:color w:val="000000"/>
          <w:sz w:val="32"/>
          <w:szCs w:val="32"/>
        </w:rPr>
        <w:t>。主要原因是棚户区改造专项债券转贷收入安排的支出及国有土地使用权出让收入安排的支出减少较多。</w:t>
      </w:r>
    </w:p>
    <w:p>
      <w:pPr>
        <w:snapToGrid w:val="0"/>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、债务付息支出4891万元。</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（三）国有资本经营预算</w:t>
      </w:r>
    </w:p>
    <w:p>
      <w:pPr>
        <w:spacing w:line="59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2021</w:t>
      </w:r>
      <w:r>
        <w:rPr>
          <w:rFonts w:hint="eastAsia" w:ascii="仿宋_GB2312" w:hAnsi="宋体" w:eastAsia="仿宋_GB2312" w:cs="宋体"/>
          <w:color w:val="000000"/>
          <w:sz w:val="32"/>
          <w:szCs w:val="32"/>
        </w:rPr>
        <w:t>年，高新区</w:t>
      </w:r>
      <w:r>
        <w:rPr>
          <w:rFonts w:hint="eastAsia" w:ascii="仿宋_GB2312" w:hAnsi="仿宋_GB2312" w:eastAsia="仿宋_GB2312" w:cs="仿宋_GB2312"/>
          <w:sz w:val="32"/>
          <w:szCs w:val="32"/>
        </w:rPr>
        <w:t>国有资本经营</w:t>
      </w:r>
      <w:r>
        <w:rPr>
          <w:rFonts w:hint="eastAsia" w:ascii="仿宋_GB2312" w:eastAsia="仿宋_GB2312"/>
          <w:color w:val="000000"/>
          <w:sz w:val="32"/>
          <w:szCs w:val="32"/>
        </w:rPr>
        <w:t>年初预算仅安排上级提前下达补助资金支出4万元，</w:t>
      </w:r>
      <w:r>
        <w:rPr>
          <w:rFonts w:hint="eastAsia" w:ascii="仿宋_GB2312" w:hAnsi="仿宋_GB2312" w:eastAsia="仿宋_GB2312" w:cs="仿宋_GB2312"/>
          <w:sz w:val="32"/>
          <w:szCs w:val="32"/>
        </w:rPr>
        <w:t>执行中上级补助国有资本经营</w:t>
      </w:r>
      <w:r>
        <w:rPr>
          <w:rFonts w:hint="eastAsia" w:ascii="仿宋_GB2312" w:eastAsia="仿宋_GB2312"/>
          <w:color w:val="000000"/>
          <w:sz w:val="32"/>
          <w:szCs w:val="32"/>
        </w:rPr>
        <w:t>预算收入44万元</w:t>
      </w:r>
      <w:r>
        <w:rPr>
          <w:rFonts w:hint="eastAsia" w:ascii="仿宋_GB2312" w:hAnsi="仿宋_GB2312" w:eastAsia="仿宋_GB2312" w:cs="仿宋_GB2312"/>
          <w:sz w:val="32"/>
          <w:szCs w:val="32"/>
        </w:rPr>
        <w:t>，支出预算调整为44万元，实际完成44万元，为调整预算的100%。</w:t>
      </w:r>
      <w:r>
        <w:rPr>
          <w:rFonts w:hint="eastAsia" w:ascii="仿宋_GB2312" w:eastAsia="仿宋_GB2312"/>
          <w:color w:val="000000"/>
          <w:sz w:val="32"/>
          <w:szCs w:val="32"/>
        </w:rPr>
        <w:t>主要是国有企业退休人员社会化管理补助支出增加。</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（四）社会保险基金预算</w:t>
      </w:r>
    </w:p>
    <w:p>
      <w:pPr>
        <w:spacing w:line="560" w:lineRule="exact"/>
        <w:ind w:firstLine="640" w:firstLineChars="200"/>
        <w:rPr>
          <w:rFonts w:ascii="仿宋_GB2312" w:hAnsi="??" w:eastAsia="仿宋_GB2312"/>
          <w:color w:val="000000"/>
          <w:sz w:val="32"/>
          <w:szCs w:val="32"/>
        </w:rPr>
      </w:pPr>
      <w:r>
        <w:rPr>
          <w:rFonts w:hint="eastAsia" w:ascii="仿宋_GB2312" w:hAnsi="??" w:eastAsia="仿宋_GB2312"/>
          <w:color w:val="000000"/>
          <w:sz w:val="32"/>
          <w:szCs w:val="32"/>
        </w:rPr>
        <w:t>2021</w:t>
      </w:r>
      <w:r>
        <w:rPr>
          <w:rFonts w:hint="eastAsia" w:ascii="仿宋_GB2312" w:hAnsi="宋体" w:eastAsia="仿宋_GB2312" w:cs="宋体"/>
          <w:color w:val="000000"/>
          <w:sz w:val="32"/>
          <w:szCs w:val="32"/>
        </w:rPr>
        <w:t>年，高新区</w:t>
      </w:r>
      <w:r>
        <w:rPr>
          <w:rFonts w:hint="eastAsia" w:ascii="仿宋_GB2312" w:eastAsia="仿宋_GB2312" w:cs="仿宋_GB2312"/>
          <w:color w:val="000000"/>
          <w:kern w:val="0"/>
          <w:sz w:val="32"/>
          <w:szCs w:val="32"/>
          <w:lang w:val="zh-CN"/>
        </w:rPr>
        <w:t>社会保险基金预算收入年初预算1468</w:t>
      </w:r>
      <w:r>
        <w:rPr>
          <w:rFonts w:hint="eastAsia" w:ascii="仿宋_GB2312" w:eastAsia="仿宋_GB2312"/>
          <w:color w:val="000000"/>
          <w:sz w:val="32"/>
          <w:szCs w:val="32"/>
        </w:rPr>
        <w:t>万</w:t>
      </w:r>
      <w:r>
        <w:rPr>
          <w:rFonts w:hint="eastAsia" w:ascii="仿宋_GB2312" w:eastAsia="仿宋_GB2312" w:cs="仿宋_GB2312"/>
          <w:color w:val="000000"/>
          <w:kern w:val="0"/>
          <w:sz w:val="32"/>
          <w:szCs w:val="32"/>
          <w:lang w:val="zh-CN"/>
        </w:rPr>
        <w:t>元，</w:t>
      </w:r>
      <w:r>
        <w:rPr>
          <w:rFonts w:hint="eastAsia" w:ascii="仿宋_GB2312" w:eastAsia="仿宋_GB2312" w:cs="仿宋_GB2312"/>
          <w:color w:val="000000"/>
          <w:sz w:val="32"/>
          <w:szCs w:val="32"/>
        </w:rPr>
        <w:t>支出预算1021</w:t>
      </w:r>
      <w:r>
        <w:rPr>
          <w:rFonts w:hint="eastAsia" w:ascii="仿宋_GB2312" w:eastAsia="仿宋_GB2312"/>
          <w:color w:val="000000"/>
          <w:sz w:val="32"/>
          <w:szCs w:val="32"/>
        </w:rPr>
        <w:t>万元</w:t>
      </w:r>
      <w:r>
        <w:rPr>
          <w:rFonts w:hint="eastAsia" w:ascii="仿宋_GB2312" w:eastAsia="仿宋_GB2312" w:cs="仿宋_GB2312"/>
          <w:color w:val="000000"/>
          <w:sz w:val="32"/>
          <w:szCs w:val="32"/>
        </w:rPr>
        <w:t>。</w:t>
      </w:r>
      <w:r>
        <w:rPr>
          <w:rFonts w:hint="eastAsia" w:ascii="仿宋_GB2312" w:eastAsia="仿宋_GB2312"/>
          <w:color w:val="000000"/>
          <w:sz w:val="32"/>
          <w:szCs w:val="32"/>
        </w:rPr>
        <w:t>2021年完成收入1492万元,为预算的101.63%；完成支出962万元，为支出预算的94.22%；年末收支结余529万元，滚存结余3756元。</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（五）政府债务情况</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2021年，上级核定高新区政府债务限额169306万元，其中：一般债务限额19637万元，专项债务限额149669万元。</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截至2021年底，高新区政府债务余额157863万元，其中：一般债务余额17376万元，专项债务余额140487万元，债务期限包括5年期、7年期、10年期。其中：一般债务余额17376万元，专项债务余额140487万元。高新区政府债务余额低于上级核定的限额。</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2021年，高新区共发行政府债券5030万元，其中：一般债券2580万元(新增一般债券0万元，再融资一般债券2580万元);专项债券2450万元(新增专项债券0万元，再融资专项债券2450万元)。</w:t>
      </w:r>
    </w:p>
    <w:p>
      <w:pPr>
        <w:spacing w:line="580" w:lineRule="exact"/>
        <w:ind w:firstLine="640" w:firstLineChars="200"/>
        <w:rPr>
          <w:rFonts w:ascii="仿宋_GB2312" w:eastAsia="仿宋_GB2312"/>
          <w:sz w:val="32"/>
          <w:szCs w:val="32"/>
        </w:rPr>
      </w:pPr>
      <w:r>
        <w:rPr>
          <w:rFonts w:hint="eastAsia" w:ascii="仿宋_GB2312" w:eastAsia="仿宋_GB2312"/>
          <w:kern w:val="0"/>
          <w:sz w:val="32"/>
          <w:szCs w:val="32"/>
        </w:rPr>
        <w:t>2021年，高新区政府债券还本付息11580万元（还本6035万元，付息5545万元）。</w:t>
      </w:r>
      <w:r>
        <w:rPr>
          <w:rFonts w:hint="eastAsia" w:ascii="仿宋_GB2312" w:eastAsia="仿宋_GB2312"/>
          <w:sz w:val="32"/>
          <w:szCs w:val="32"/>
        </w:rPr>
        <w:t>上述财政收支和政府债务数据为快报数，在完成决算审查汇总以及与省财政结算后还会有一些变动，决算结果届时再报市人大常委会审议批准。</w:t>
      </w:r>
    </w:p>
    <w:p>
      <w:pPr>
        <w:pStyle w:val="7"/>
        <w:shd w:val="clear" w:color="auto" w:fill="FFFFFF"/>
        <w:spacing w:line="585" w:lineRule="atLeast"/>
        <w:ind w:firstLine="645"/>
        <w:rPr>
          <w:rFonts w:ascii="微软雅黑" w:hAnsi="微软雅黑" w:eastAsia="微软雅黑"/>
          <w:sz w:val="21"/>
          <w:szCs w:val="21"/>
        </w:rPr>
      </w:pPr>
      <w:r>
        <w:rPr>
          <w:rFonts w:hint="eastAsia" w:ascii="黑体" w:hAnsi="黑体" w:eastAsia="黑体"/>
          <w:sz w:val="32"/>
          <w:szCs w:val="32"/>
        </w:rPr>
        <w:t>二、2022</w:t>
      </w:r>
      <w:bookmarkStart w:id="0" w:name="_GoBack"/>
      <w:bookmarkEnd w:id="0"/>
      <w:r>
        <w:rPr>
          <w:rFonts w:hint="eastAsia" w:ascii="黑体" w:hAnsi="黑体" w:eastAsia="黑体"/>
          <w:sz w:val="32"/>
          <w:szCs w:val="32"/>
        </w:rPr>
        <w:t>年预算草案情况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2022年预算编制指导思想是：以习近平新时代中国特色社会主义思想为指导，全面贯彻党的十九大和十九届历次全会精神，深入贯彻习近平总书记视察河南重要讲话重要指示，认真落实市第十次党代会和市委经济工作会议部署。坚持“紧日子保基本、调结构保战略”，扎实落实积极的财政政策要提升效能，更加注重精准、可持续，加强财政资源统筹，集中财力办大事，优化支出结构，严肃财经纪律，加强财政可持续风险防控，锐意进取、求实奋进，以优异成绩迎接党的二十大胜利召开。</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2022年高新区一般公共预算收入预期增长目标为11%。这一增幅充分考虑了经济发展和减税降费因素，是积极稳妥的。</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（一）一般公共预算情况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2022年高新区一般公共预算收入总计44181万元，其中：区本级收入45915万元；上级补助收入-2005万元（返还性收入</w:t>
      </w:r>
      <w:r>
        <w:rPr>
          <w:rFonts w:ascii="仿宋_GB2312" w:eastAsia="仿宋_GB2312"/>
          <w:color w:val="000000"/>
          <w:sz w:val="32"/>
          <w:szCs w:val="32"/>
        </w:rPr>
        <w:t>-3925</w:t>
      </w:r>
      <w:r>
        <w:rPr>
          <w:rFonts w:hint="eastAsia" w:ascii="仿宋_GB2312" w:eastAsia="仿宋_GB2312"/>
          <w:color w:val="000000"/>
          <w:sz w:val="32"/>
          <w:szCs w:val="32"/>
        </w:rPr>
        <w:t>万元，一般性转移支付收入1810万元，专项转移支付收入110万元）；上年结余收入271万元。</w:t>
      </w:r>
    </w:p>
    <w:p>
      <w:pPr>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区本级一般公共预算收入45915万元，可比增长30.6</w:t>
      </w:r>
      <w:r>
        <w:rPr>
          <w:rFonts w:ascii="仿宋_GB2312" w:eastAsia="仿宋_GB2312"/>
          <w:color w:val="000000"/>
          <w:sz w:val="32"/>
          <w:szCs w:val="32"/>
        </w:rPr>
        <w:t>%</w:t>
      </w:r>
      <w:r>
        <w:rPr>
          <w:rFonts w:hint="eastAsia" w:ascii="仿宋_GB2312" w:eastAsia="仿宋_GB2312"/>
          <w:color w:val="000000"/>
          <w:sz w:val="32"/>
          <w:szCs w:val="32"/>
        </w:rPr>
        <w:t>。其中：税收收入41915万元，可比增长30.4</w:t>
      </w:r>
      <w:r>
        <w:rPr>
          <w:rFonts w:ascii="仿宋_GB2312" w:eastAsia="仿宋_GB2312"/>
          <w:color w:val="000000"/>
          <w:sz w:val="32"/>
          <w:szCs w:val="32"/>
        </w:rPr>
        <w:t>%</w:t>
      </w:r>
      <w:r>
        <w:rPr>
          <w:rFonts w:hint="eastAsia" w:ascii="仿宋_GB2312" w:eastAsia="仿宋_GB2312"/>
          <w:color w:val="000000"/>
          <w:sz w:val="32"/>
          <w:szCs w:val="32"/>
        </w:rPr>
        <w:t>；非税收入4000万元，可比增长33.3</w:t>
      </w:r>
      <w:r>
        <w:rPr>
          <w:rFonts w:ascii="仿宋_GB2312" w:eastAsia="仿宋_GB2312"/>
          <w:color w:val="000000"/>
          <w:sz w:val="32"/>
          <w:szCs w:val="32"/>
        </w:rPr>
        <w:t>%</w:t>
      </w:r>
      <w:r>
        <w:rPr>
          <w:rFonts w:hint="eastAsia" w:ascii="仿宋_GB2312" w:eastAsia="仿宋_GB2312"/>
          <w:color w:val="000000"/>
          <w:sz w:val="32"/>
          <w:szCs w:val="32"/>
        </w:rPr>
        <w:t>。主要项目情况是：增值税收入19240万元，企业所得税收入3838万元，个人所得税550万元，城市维护建设税等收入14372万元，专项收入1500万元，行政事业性收费收入1750万元，罚没等其他收入750万元。</w:t>
      </w:r>
    </w:p>
    <w:p>
      <w:pPr>
        <w:pStyle w:val="20"/>
        <w:spacing w:line="540" w:lineRule="exact"/>
        <w:ind w:firstLine="640"/>
        <w:rPr>
          <w:rFonts w:ascii="仿宋_GB2312" w:eastAsia="仿宋_GB2312"/>
          <w:color w:val="000000"/>
          <w:sz w:val="32"/>
          <w:szCs w:val="32"/>
        </w:rPr>
      </w:pPr>
      <w:r>
        <w:rPr>
          <w:rFonts w:hint="eastAsia" w:ascii="仿宋_GB2312" w:eastAsia="仿宋_GB2312"/>
          <w:color w:val="000000"/>
          <w:sz w:val="32"/>
          <w:szCs w:val="32"/>
        </w:rPr>
        <w:t>2022年高新区一般公共预算支出总计44181万元，其中：区本级支36897万元（含线下债务还本支出2445万元），上解上级支出7284万元</w:t>
      </w:r>
      <w:r>
        <w:rPr>
          <w:rFonts w:ascii="仿宋_GB2312" w:eastAsia="仿宋_GB2312"/>
          <w:color w:val="000000"/>
          <w:sz w:val="32"/>
          <w:szCs w:val="32"/>
        </w:rPr>
        <w:t>(</w:t>
      </w:r>
      <w:r>
        <w:rPr>
          <w:rFonts w:hint="eastAsia" w:ascii="仿宋_GB2312" w:eastAsia="仿宋_GB2312"/>
          <w:color w:val="000000"/>
          <w:sz w:val="32"/>
          <w:szCs w:val="32"/>
        </w:rPr>
        <w:t>体制上解支出</w:t>
      </w:r>
      <w:r>
        <w:rPr>
          <w:rFonts w:ascii="仿宋_GB2312" w:eastAsia="仿宋_GB2312"/>
          <w:color w:val="000000"/>
          <w:sz w:val="32"/>
          <w:szCs w:val="32"/>
        </w:rPr>
        <w:t>425</w:t>
      </w:r>
      <w:r>
        <w:rPr>
          <w:rFonts w:hint="eastAsia" w:ascii="仿宋_GB2312" w:eastAsia="仿宋_GB2312"/>
          <w:color w:val="000000"/>
          <w:sz w:val="32"/>
          <w:szCs w:val="32"/>
        </w:rPr>
        <w:t>万元，专项上解支出6859万元）。</w:t>
      </w:r>
    </w:p>
    <w:p>
      <w:pPr>
        <w:pStyle w:val="20"/>
        <w:spacing w:line="540" w:lineRule="exact"/>
        <w:ind w:firstLine="640"/>
        <w:rPr>
          <w:rFonts w:ascii="仿宋_GB2312" w:eastAsia="仿宋_GB2312"/>
          <w:color w:val="000000"/>
          <w:sz w:val="32"/>
          <w:szCs w:val="32"/>
        </w:rPr>
      </w:pPr>
      <w:r>
        <w:rPr>
          <w:rFonts w:hint="eastAsia" w:ascii="仿宋_GB2312" w:eastAsia="仿宋_GB2312"/>
          <w:color w:val="000000"/>
          <w:sz w:val="32"/>
          <w:szCs w:val="32"/>
        </w:rPr>
        <w:t>区本级一般公共预算支出36897万元（含线下债务还本支出2445万元），可比增长6%。其中，人员和公用经费等基本支出16794万元，占45.5</w:t>
      </w:r>
      <w:r>
        <w:rPr>
          <w:rFonts w:ascii="仿宋_GB2312" w:eastAsia="仿宋_GB2312"/>
          <w:color w:val="000000"/>
          <w:sz w:val="32"/>
          <w:szCs w:val="32"/>
        </w:rPr>
        <w:t>%</w:t>
      </w:r>
      <w:r>
        <w:rPr>
          <w:rFonts w:hint="eastAsia" w:ascii="仿宋_GB2312" w:eastAsia="仿宋_GB2312"/>
          <w:color w:val="000000"/>
          <w:sz w:val="32"/>
          <w:szCs w:val="32"/>
        </w:rPr>
        <w:t>；项目支出20103万元，占54.5</w:t>
      </w:r>
      <w:r>
        <w:rPr>
          <w:rFonts w:ascii="仿宋_GB2312" w:eastAsia="仿宋_GB2312"/>
          <w:color w:val="000000"/>
          <w:sz w:val="32"/>
          <w:szCs w:val="32"/>
        </w:rPr>
        <w:t>%</w:t>
      </w:r>
      <w:r>
        <w:rPr>
          <w:rFonts w:hint="eastAsia" w:ascii="仿宋_GB2312" w:eastAsia="仿宋_GB2312"/>
          <w:color w:val="000000"/>
          <w:sz w:val="32"/>
          <w:szCs w:val="32"/>
        </w:rPr>
        <w:t>。财政拨款安排的主要支出项目情况是：</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、一般公共服务支出10502万元，可比增加15.1</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hAnsi="文星仿宋" w:eastAsia="仿宋_GB2312"/>
          <w:color w:val="000000"/>
          <w:sz w:val="32"/>
          <w:szCs w:val="30"/>
        </w:rPr>
      </w:pPr>
      <w:r>
        <w:rPr>
          <w:rFonts w:ascii="仿宋_GB2312" w:eastAsia="仿宋_GB2312"/>
          <w:color w:val="000000"/>
          <w:sz w:val="32"/>
          <w:szCs w:val="32"/>
        </w:rPr>
        <w:t>2</w:t>
      </w:r>
      <w:r>
        <w:rPr>
          <w:rFonts w:hint="eastAsia" w:ascii="仿宋_GB2312" w:eastAsia="仿宋_GB2312"/>
          <w:color w:val="000000"/>
          <w:sz w:val="32"/>
          <w:szCs w:val="32"/>
        </w:rPr>
        <w:t>、公共安全支出120万元，可比减少79</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、教育支出5130万元，可比减少24.4</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、科学技术支出898万元，可比减少40.5</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5、社会保障和就业支出5322万元，可比增长13.3</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6、卫生健康支出810万元，可比减少8.8</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7、节能环保支出670万元，可比减少5.5</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hAnsi="宋体" w:eastAsia="仿宋_GB2312" w:cs="??"/>
          <w:bCs/>
          <w:color w:val="000000"/>
          <w:kern w:val="0"/>
          <w:sz w:val="32"/>
          <w:szCs w:val="32"/>
          <w:lang w:val="zh-CN"/>
        </w:rPr>
      </w:pPr>
      <w:r>
        <w:rPr>
          <w:rFonts w:hint="eastAsia" w:ascii="仿宋_GB2312" w:eastAsia="仿宋_GB2312"/>
          <w:color w:val="000000"/>
          <w:sz w:val="32"/>
          <w:szCs w:val="32"/>
        </w:rPr>
        <w:t>8、城乡社区支出1712万元，可比减少5.2</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9、农林水支出563万元，可比减少49.1</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10、商业服务业等支出382万元，可比增长210.6</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11.资源勘探工业信息等支出1000万元，可比增长100</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12、住房保障支出798万元，可比减少8.9</w:t>
      </w:r>
      <w:r>
        <w:rPr>
          <w:rFonts w:ascii="仿宋_GB2312" w:eastAsia="仿宋_GB2312"/>
          <w:color w:val="000000"/>
          <w:sz w:val="32"/>
          <w:szCs w:val="32"/>
        </w:rPr>
        <w:t>%</w:t>
      </w:r>
      <w:r>
        <w:rPr>
          <w:rFonts w:hint="eastAsia" w:ascii="仿宋_GB2312" w:eastAsia="仿宋_GB2312"/>
          <w:color w:val="000000"/>
          <w:sz w:val="32"/>
          <w:szCs w:val="32"/>
        </w:rPr>
        <w:t>。</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13、灾害防治及应急管理支出302万元，可比增加4.1%。</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14、预备费1000万元，与上年持平。</w:t>
      </w:r>
    </w:p>
    <w:p>
      <w:pPr>
        <w:spacing w:line="54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15、债务还本支出2445万元（线下支出），可比减少5.6%。债务付息支出634万元，可比减少0.6%。</w:t>
      </w:r>
    </w:p>
    <w:p>
      <w:pPr>
        <w:spacing w:line="540" w:lineRule="exact"/>
        <w:ind w:firstLine="640" w:firstLineChars="200"/>
        <w:rPr>
          <w:rFonts w:ascii="仿宋_GB2312" w:eastAsia="仿宋_GB2312"/>
          <w:color w:val="000000"/>
          <w:kern w:val="0"/>
          <w:sz w:val="32"/>
          <w:szCs w:val="32"/>
        </w:rPr>
      </w:pPr>
      <w:r>
        <w:rPr>
          <w:rFonts w:ascii="仿宋_GB2312" w:eastAsia="仿宋_GB2312"/>
          <w:color w:val="000000"/>
          <w:sz w:val="32"/>
          <w:szCs w:val="32"/>
        </w:rPr>
        <w:t>1</w:t>
      </w:r>
      <w:r>
        <w:rPr>
          <w:rFonts w:hint="eastAsia" w:ascii="仿宋_GB2312" w:eastAsia="仿宋_GB2312"/>
          <w:color w:val="000000"/>
          <w:sz w:val="32"/>
          <w:szCs w:val="32"/>
        </w:rPr>
        <w:t>6、</w:t>
      </w:r>
      <w:r>
        <w:rPr>
          <w:rFonts w:hint="eastAsia" w:ascii="仿宋_GB2312" w:eastAsia="仿宋_GB2312"/>
          <w:color w:val="000000"/>
          <w:kern w:val="0"/>
          <w:sz w:val="32"/>
          <w:szCs w:val="32"/>
        </w:rPr>
        <w:t>其他支出4606万元，</w:t>
      </w:r>
      <w:r>
        <w:rPr>
          <w:rFonts w:hint="eastAsia" w:ascii="仿宋_GB2312" w:eastAsia="仿宋_GB2312"/>
          <w:color w:val="000000"/>
          <w:sz w:val="32"/>
          <w:szCs w:val="32"/>
        </w:rPr>
        <w:t>可比增加164%</w:t>
      </w:r>
      <w:r>
        <w:rPr>
          <w:rFonts w:hint="eastAsia" w:ascii="仿宋_GB2312" w:eastAsia="仿宋_GB2312"/>
          <w:color w:val="000000"/>
          <w:kern w:val="0"/>
          <w:sz w:val="32"/>
          <w:szCs w:val="32"/>
        </w:rPr>
        <w:t>。</w:t>
      </w:r>
      <w:r>
        <w:rPr>
          <w:rFonts w:ascii="仿宋_GB2312" w:eastAsia="仿宋_GB2312"/>
          <w:color w:val="000000"/>
          <w:kern w:val="0"/>
          <w:sz w:val="32"/>
          <w:szCs w:val="32"/>
        </w:rPr>
        <w:t xml:space="preserve"> </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（二）政府性基金预算情况</w:t>
      </w:r>
    </w:p>
    <w:p>
      <w:pPr>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2022年政府性基金预算</w:t>
      </w:r>
      <w:r>
        <w:rPr>
          <w:rFonts w:ascii="仿宋_GB2312" w:eastAsia="仿宋_GB2312"/>
          <w:color w:val="000000"/>
          <w:sz w:val="32"/>
          <w:szCs w:val="32"/>
        </w:rPr>
        <w:t>,</w:t>
      </w:r>
      <w:r>
        <w:rPr>
          <w:rFonts w:hint="eastAsia" w:ascii="仿宋_GB2312" w:eastAsia="仿宋_GB2312"/>
          <w:color w:val="000000"/>
          <w:sz w:val="32"/>
          <w:szCs w:val="32"/>
        </w:rPr>
        <w:t>按市对区新财政体制</w:t>
      </w:r>
      <w:r>
        <w:rPr>
          <w:rFonts w:ascii="仿宋_GB2312" w:eastAsia="仿宋_GB2312"/>
          <w:color w:val="000000"/>
          <w:sz w:val="32"/>
          <w:szCs w:val="32"/>
        </w:rPr>
        <w:t>,</w:t>
      </w:r>
      <w:r>
        <w:rPr>
          <w:rFonts w:hint="eastAsia" w:ascii="仿宋_GB2312" w:eastAsia="仿宋_GB2312"/>
          <w:color w:val="000000"/>
          <w:sz w:val="32"/>
          <w:szCs w:val="32"/>
        </w:rPr>
        <w:t>已并入市级基金预算</w:t>
      </w:r>
      <w:r>
        <w:rPr>
          <w:rFonts w:ascii="仿宋_GB2312" w:eastAsia="仿宋_GB2312"/>
          <w:color w:val="000000"/>
          <w:sz w:val="32"/>
          <w:szCs w:val="32"/>
        </w:rPr>
        <w:t>,</w:t>
      </w:r>
      <w:r>
        <w:rPr>
          <w:rFonts w:hint="eastAsia" w:ascii="仿宋_GB2312" w:eastAsia="仿宋_GB2312"/>
          <w:color w:val="000000"/>
          <w:sz w:val="32"/>
          <w:szCs w:val="32"/>
        </w:rPr>
        <w:t>区本级仅安排上级提前下达预算。2022年高新区政府性基金收入预算总计82万元，其中：上级补助收入82万元；政府性基金支出预算总计82万元，其中：上级补助收入安排支出82万元。主要支出项目情况是：</w:t>
      </w:r>
    </w:p>
    <w:p>
      <w:pPr>
        <w:snapToGrid w:val="0"/>
        <w:spacing w:line="560" w:lineRule="exact"/>
        <w:ind w:firstLine="640" w:firstLineChars="200"/>
        <w:jc w:val="left"/>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、社会保障和就业支出63万元,全部为大中型水库移民后期扶持基金支出。</w:t>
      </w:r>
    </w:p>
    <w:p>
      <w:pPr>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2、彩票公益金安排的支出19万元。</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（三）国有资本经营预算情况</w:t>
      </w:r>
    </w:p>
    <w:p>
      <w:pPr>
        <w:snapToGrid w:val="0"/>
        <w:spacing w:line="56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2022年高新区无国有资本经营预算收入预算。</w:t>
      </w:r>
    </w:p>
    <w:p>
      <w:pPr>
        <w:pStyle w:val="7"/>
        <w:widowControl w:val="0"/>
        <w:shd w:val="clear" w:color="auto" w:fill="FFFFFF"/>
        <w:autoSpaceDE w:val="0"/>
        <w:spacing w:line="580" w:lineRule="exact"/>
        <w:ind w:firstLine="645"/>
        <w:jc w:val="both"/>
        <w:rPr>
          <w:rStyle w:val="21"/>
          <w:rFonts w:ascii="楷体" w:hAnsi="楷体" w:eastAsia="楷体"/>
          <w:sz w:val="32"/>
          <w:szCs w:val="32"/>
        </w:rPr>
      </w:pPr>
      <w:r>
        <w:rPr>
          <w:rStyle w:val="21"/>
          <w:rFonts w:hint="eastAsia" w:ascii="楷体" w:hAnsi="楷体" w:eastAsia="楷体"/>
          <w:sz w:val="32"/>
          <w:szCs w:val="32"/>
        </w:rPr>
        <w:t>（四）社会保险基金预算情况</w:t>
      </w:r>
    </w:p>
    <w:p>
      <w:pPr>
        <w:snapToGrid w:val="0"/>
        <w:spacing w:line="560" w:lineRule="exact"/>
        <w:ind w:firstLine="615"/>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2022年，高新区社会保险基金预算编制范围仅包括</w:t>
      </w:r>
      <w:r>
        <w:rPr>
          <w:rFonts w:hint="eastAsia" w:ascii="仿宋_GB2312" w:eastAsia="仿宋_GB2312"/>
          <w:color w:val="000000"/>
          <w:sz w:val="32"/>
          <w:szCs w:val="32"/>
        </w:rPr>
        <w:t>城乡居民基本养老保险基金</w:t>
      </w:r>
      <w:r>
        <w:rPr>
          <w:rFonts w:hint="eastAsia" w:ascii="仿宋_GB2312" w:hAnsi="Arial" w:eastAsia="仿宋_GB2312" w:cs="Arial"/>
          <w:color w:val="000000"/>
          <w:kern w:val="0"/>
          <w:sz w:val="32"/>
          <w:szCs w:val="32"/>
        </w:rPr>
        <w:t>。</w:t>
      </w:r>
      <w:r>
        <w:rPr>
          <w:rFonts w:hint="eastAsia" w:ascii="仿宋_GB2312" w:eastAsia="仿宋_GB2312"/>
          <w:color w:val="000000"/>
          <w:sz w:val="32"/>
          <w:szCs w:val="32"/>
        </w:rPr>
        <w:t>社会保险基金预算收入1606万元，各项保险基金收入情况是：城乡居民基本养老保险基金收入1606万元，其中个人缴费收入373万元。社会保险基金支出1039万元,各项保险基金支出情况是：城乡居民基本养老保险基金支出1039万元，其中，基础养老金支出960万元。</w:t>
      </w:r>
    </w:p>
    <w:p>
      <w:pPr>
        <w:pStyle w:val="7"/>
        <w:shd w:val="clear" w:color="auto" w:fill="FFFFFF"/>
        <w:spacing w:line="585" w:lineRule="atLeast"/>
        <w:ind w:firstLine="645"/>
      </w:pPr>
      <w:r>
        <w:rPr>
          <w:rFonts w:hint="eastAsia" w:ascii="黑体" w:hAnsi="黑体" w:eastAsia="黑体"/>
          <w:sz w:val="32"/>
          <w:szCs w:val="32"/>
        </w:rPr>
        <w:t>三、财政扶贫资金公开</w:t>
      </w:r>
    </w:p>
    <w:p>
      <w:pPr>
        <w:pStyle w:val="7"/>
        <w:shd w:val="clear" w:color="auto" w:fill="FFFFFF"/>
        <w:spacing w:line="585" w:lineRule="atLeast"/>
        <w:ind w:firstLine="645"/>
        <w:rPr>
          <w:rFonts w:hint="eastAsia" w:ascii="仿宋_GB2312" w:eastAsia="仿宋_GB2312"/>
          <w:sz w:val="32"/>
          <w:szCs w:val="32"/>
        </w:rPr>
      </w:pPr>
      <w:r>
        <w:rPr>
          <w:rFonts w:hint="eastAsia" w:ascii="仿宋_GB2312" w:eastAsia="仿宋_GB2312"/>
          <w:sz w:val="32"/>
          <w:szCs w:val="32"/>
        </w:rPr>
        <w:t>202年，高新区无财政扶贫资金。</w:t>
      </w:r>
    </w:p>
    <w:p>
      <w:pPr>
        <w:pStyle w:val="7"/>
        <w:widowControl w:val="0"/>
        <w:shd w:val="clear" w:color="auto" w:fill="FFFFFF"/>
        <w:autoSpaceDE w:val="0"/>
        <w:spacing w:line="580" w:lineRule="exact"/>
        <w:ind w:firstLine="640" w:firstLineChars="200"/>
        <w:jc w:val="both"/>
        <w:rPr>
          <w:rFonts w:ascii="黑体" w:hAnsi="黑体" w:eastAsia="黑体" w:cs="Arial"/>
          <w:color w:val="000000"/>
          <w:sz w:val="32"/>
          <w:szCs w:val="32"/>
        </w:rPr>
      </w:pPr>
      <w:r>
        <w:rPr>
          <w:rFonts w:hint="eastAsia" w:ascii="黑体" w:hAnsi="黑体" w:eastAsia="黑体" w:cs="Arial"/>
          <w:color w:val="000000"/>
          <w:sz w:val="32"/>
          <w:szCs w:val="32"/>
        </w:rPr>
        <w:t>四、重大政策和重点项目说明</w:t>
      </w:r>
    </w:p>
    <w:p>
      <w:pPr>
        <w:pStyle w:val="7"/>
        <w:widowControl w:val="0"/>
        <w:shd w:val="clear" w:color="auto" w:fill="FFFFFF"/>
        <w:autoSpaceDE w:val="0"/>
        <w:spacing w:line="580" w:lineRule="exact"/>
        <w:ind w:firstLine="640" w:firstLineChars="200"/>
        <w:jc w:val="both"/>
        <w:rPr>
          <w:rFonts w:hint="eastAsia" w:ascii="仿宋_GB2312" w:hAnsi="Arial" w:eastAsia="仿宋_GB2312" w:cs="Arial"/>
          <w:sz w:val="32"/>
          <w:szCs w:val="32"/>
        </w:rPr>
      </w:pPr>
      <w:r>
        <w:rPr>
          <w:rFonts w:hint="eastAsia" w:ascii="仿宋_GB2312" w:hAnsi="Arial" w:eastAsia="仿宋_GB2312" w:cs="Arial"/>
          <w:sz w:val="32"/>
          <w:szCs w:val="32"/>
        </w:rPr>
        <w:t>2021年，我区无重大政策调整。</w:t>
      </w:r>
    </w:p>
    <w:p>
      <w:pPr>
        <w:spacing w:line="540" w:lineRule="exact"/>
        <w:ind w:firstLine="640" w:firstLineChars="200"/>
        <w:rPr>
          <w:rFonts w:hint="eastAsia" w:ascii="仿宋_GB2312" w:eastAsia="仿宋_GB2312"/>
          <w:sz w:val="32"/>
          <w:szCs w:val="32"/>
        </w:rPr>
      </w:pPr>
      <w:r>
        <w:rPr>
          <w:rFonts w:hint="eastAsia" w:ascii="仿宋_GB2312" w:hAnsi="Arial" w:eastAsia="仿宋_GB2312" w:cs="Arial"/>
          <w:sz w:val="32"/>
          <w:szCs w:val="32"/>
        </w:rPr>
        <w:t>2022年，我区重点项目包括以下几方面：</w:t>
      </w:r>
      <w:r>
        <w:rPr>
          <w:rFonts w:hint="eastAsia" w:ascii="仿宋_GB2312" w:eastAsia="仿宋_GB2312"/>
          <w:color w:val="000000"/>
          <w:sz w:val="32"/>
          <w:szCs w:val="32"/>
        </w:rPr>
        <w:t>教育支出5130万元，科学技术支出898万元，社会保障和就业支出5322万元，卫生健康支出810万元，节能环保支出670万元，城乡社区支出1712万元，农林水支出563万元，资源勘探工业信息等支出1000万元，商业服务业等支出382万元，住房保障支出798万元，灾害防治及应急管理支出302万元。</w:t>
      </w:r>
      <w:r>
        <w:rPr>
          <w:rFonts w:hint="eastAsia" w:ascii="仿宋_GB2312" w:hAnsi="Arial" w:eastAsia="仿宋_GB2312" w:cs="Arial"/>
          <w:sz w:val="32"/>
          <w:szCs w:val="32"/>
        </w:rPr>
        <w:t>全部纳入预算绩效管理，</w:t>
      </w:r>
      <w:r>
        <w:rPr>
          <w:rFonts w:hint="eastAsia" w:ascii="仿宋_GB2312" w:eastAsia="仿宋_GB2312"/>
          <w:sz w:val="32"/>
          <w:szCs w:val="32"/>
        </w:rPr>
        <w:t>建立项目库，优化支出结构，提高财政资金的利用率</w:t>
      </w:r>
      <w:r>
        <w:rPr>
          <w:rFonts w:hint="eastAsia" w:ascii="仿宋_GB2312" w:hAnsi="Arial" w:eastAsia="仿宋_GB2312" w:cs="Arial"/>
          <w:sz w:val="32"/>
          <w:szCs w:val="32"/>
        </w:rPr>
        <w:t>。</w:t>
      </w:r>
    </w:p>
    <w:p>
      <w:pPr>
        <w:pStyle w:val="7"/>
        <w:widowControl w:val="0"/>
        <w:shd w:val="clear" w:color="auto" w:fill="FFFFFF"/>
        <w:autoSpaceDE w:val="0"/>
        <w:spacing w:line="580" w:lineRule="exact"/>
        <w:ind w:firstLine="640" w:firstLineChars="200"/>
        <w:jc w:val="both"/>
        <w:rPr>
          <w:rFonts w:hint="eastAsia"/>
        </w:rPr>
      </w:pPr>
      <w:r>
        <w:rPr>
          <w:rFonts w:hint="eastAsia" w:ascii="黑体" w:hAnsi="黑体" w:eastAsia="黑体"/>
          <w:sz w:val="32"/>
          <w:szCs w:val="32"/>
        </w:rPr>
        <w:t>五、预算绩效工作开展情况</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认真贯彻落实全面实施预算绩效管理的各项部署和要求，以绩效为导向调整优化支出结构，切实提高财政政策的精准度和有效性，提升财政资金的配置效率和使用效益。建立事前绩效评估机制，加强财政可承受能力评估，对不具备实施条件、存在财政风险隐患的政策和项目一律不得出台实施。加强绩效目标管理，科学设置绩效指标和指标值。扎实开展绩效目标运行监控，对发现的问题和管理漏洞，要及时采取措施予以纠正。全面开展绩效评价，加强绩效评价结果同政策调整、预算安排的有机结合，对支持方向与国家重大决策部署和部门主要职能相偏离、交叉重复的政策和项目予以调整，对低效无效项目进行压缩、调整或取消。统筹归并部门内部切块管理的项目，集中财力办大事。着力清理规范过高承诺、过度保障的支出政策，做到尽力而为、量力而行，确保财政可持续。</w:t>
      </w:r>
    </w:p>
    <w:p>
      <w:pPr>
        <w:spacing w:line="560" w:lineRule="exact"/>
        <w:ind w:firstLine="640" w:firstLineChars="200"/>
        <w:rPr>
          <w:color w:val="000000"/>
          <w:sz w:val="32"/>
          <w:szCs w:val="32"/>
        </w:rPr>
      </w:pPr>
    </w:p>
    <w:p>
      <w:pPr>
        <w:spacing w:line="560" w:lineRule="exact"/>
        <w:jc w:val="center"/>
        <w:outlineLvl w:val="0"/>
        <w:rPr>
          <w:rFonts w:ascii="仿宋_GB2312" w:eastAsia="仿宋_GB2312"/>
          <w:color w:val="000000"/>
          <w:sz w:val="32"/>
          <w:szCs w:val="32"/>
        </w:rPr>
      </w:pPr>
    </w:p>
    <w:sectPr>
      <w:headerReference r:id="rId3" w:type="default"/>
      <w:footerReference r:id="rId4" w:type="default"/>
      <w:footerReference r:id="rId5" w:type="even"/>
      <w:pgSz w:w="11906" w:h="16838"/>
      <w:pgMar w:top="1440" w:right="1701" w:bottom="1440" w:left="1701" w:header="851" w:footer="992" w:gutter="0"/>
      <w:pgNumType w:start="0"/>
      <w:cols w:space="425" w:num="1"/>
      <w:titlePg/>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ZkMDU0NWM0ZmM0NGU5ZWI3ZmIzN2ZhYmQ4NmY3ZDYifQ=="/>
  </w:docVars>
  <w:rsids>
    <w:rsidRoot w:val="00E96696"/>
    <w:rsid w:val="00005A3C"/>
    <w:rsid w:val="0000651A"/>
    <w:rsid w:val="000131C6"/>
    <w:rsid w:val="000133A7"/>
    <w:rsid w:val="00021781"/>
    <w:rsid w:val="00021B53"/>
    <w:rsid w:val="000225A7"/>
    <w:rsid w:val="000309A7"/>
    <w:rsid w:val="00033261"/>
    <w:rsid w:val="0003753E"/>
    <w:rsid w:val="0004067C"/>
    <w:rsid w:val="00040960"/>
    <w:rsid w:val="00043EF4"/>
    <w:rsid w:val="000503B9"/>
    <w:rsid w:val="000539CD"/>
    <w:rsid w:val="00082EDD"/>
    <w:rsid w:val="00092F00"/>
    <w:rsid w:val="000942D5"/>
    <w:rsid w:val="00094718"/>
    <w:rsid w:val="00097EF9"/>
    <w:rsid w:val="000A4BC1"/>
    <w:rsid w:val="000A4D2E"/>
    <w:rsid w:val="000A5147"/>
    <w:rsid w:val="000A563F"/>
    <w:rsid w:val="000A67FB"/>
    <w:rsid w:val="000A7F4F"/>
    <w:rsid w:val="000B3BD9"/>
    <w:rsid w:val="000B45B8"/>
    <w:rsid w:val="000C2AFC"/>
    <w:rsid w:val="000D4BFC"/>
    <w:rsid w:val="000D5891"/>
    <w:rsid w:val="000D7F0A"/>
    <w:rsid w:val="000E0857"/>
    <w:rsid w:val="000F4636"/>
    <w:rsid w:val="000F58A6"/>
    <w:rsid w:val="000F7BF3"/>
    <w:rsid w:val="00100C06"/>
    <w:rsid w:val="0010297D"/>
    <w:rsid w:val="00105BBA"/>
    <w:rsid w:val="00121475"/>
    <w:rsid w:val="0012218B"/>
    <w:rsid w:val="00126DE7"/>
    <w:rsid w:val="00131D23"/>
    <w:rsid w:val="00141DD0"/>
    <w:rsid w:val="00142128"/>
    <w:rsid w:val="00143582"/>
    <w:rsid w:val="00146ED7"/>
    <w:rsid w:val="0015129E"/>
    <w:rsid w:val="00160385"/>
    <w:rsid w:val="00162589"/>
    <w:rsid w:val="001679E3"/>
    <w:rsid w:val="001724B6"/>
    <w:rsid w:val="0017649E"/>
    <w:rsid w:val="00176652"/>
    <w:rsid w:val="00177894"/>
    <w:rsid w:val="00182AC8"/>
    <w:rsid w:val="00194584"/>
    <w:rsid w:val="001A0384"/>
    <w:rsid w:val="001A7E82"/>
    <w:rsid w:val="001B3D35"/>
    <w:rsid w:val="001C5825"/>
    <w:rsid w:val="001C6773"/>
    <w:rsid w:val="001C69C5"/>
    <w:rsid w:val="001C7962"/>
    <w:rsid w:val="001D2488"/>
    <w:rsid w:val="001D3E31"/>
    <w:rsid w:val="001D43EA"/>
    <w:rsid w:val="001D72F4"/>
    <w:rsid w:val="001F3B7D"/>
    <w:rsid w:val="0020153F"/>
    <w:rsid w:val="00203764"/>
    <w:rsid w:val="0020392C"/>
    <w:rsid w:val="00211FA8"/>
    <w:rsid w:val="002134B9"/>
    <w:rsid w:val="002274CC"/>
    <w:rsid w:val="002300D7"/>
    <w:rsid w:val="0023412E"/>
    <w:rsid w:val="002375C8"/>
    <w:rsid w:val="0024167C"/>
    <w:rsid w:val="00244A4F"/>
    <w:rsid w:val="00250D23"/>
    <w:rsid w:val="0025278A"/>
    <w:rsid w:val="002528CA"/>
    <w:rsid w:val="00253AFA"/>
    <w:rsid w:val="0025550C"/>
    <w:rsid w:val="00255AF2"/>
    <w:rsid w:val="002605DE"/>
    <w:rsid w:val="00263379"/>
    <w:rsid w:val="00277CB2"/>
    <w:rsid w:val="00277CE1"/>
    <w:rsid w:val="002804D6"/>
    <w:rsid w:val="00283C75"/>
    <w:rsid w:val="00286CC3"/>
    <w:rsid w:val="00295AFC"/>
    <w:rsid w:val="002A71D1"/>
    <w:rsid w:val="002B2C2A"/>
    <w:rsid w:val="002B4A46"/>
    <w:rsid w:val="002C58B0"/>
    <w:rsid w:val="002C6C86"/>
    <w:rsid w:val="002D2A4C"/>
    <w:rsid w:val="002D3896"/>
    <w:rsid w:val="002D4FAE"/>
    <w:rsid w:val="002E673F"/>
    <w:rsid w:val="002F1B5E"/>
    <w:rsid w:val="002F287E"/>
    <w:rsid w:val="002F30EB"/>
    <w:rsid w:val="002F5C3E"/>
    <w:rsid w:val="003003FC"/>
    <w:rsid w:val="00302565"/>
    <w:rsid w:val="003123AE"/>
    <w:rsid w:val="00317C5C"/>
    <w:rsid w:val="00322F41"/>
    <w:rsid w:val="0032716F"/>
    <w:rsid w:val="00337ECE"/>
    <w:rsid w:val="003553B3"/>
    <w:rsid w:val="00356E5E"/>
    <w:rsid w:val="00356FE7"/>
    <w:rsid w:val="00357967"/>
    <w:rsid w:val="00360095"/>
    <w:rsid w:val="00363DC7"/>
    <w:rsid w:val="00364524"/>
    <w:rsid w:val="00364E48"/>
    <w:rsid w:val="00367F1D"/>
    <w:rsid w:val="00383145"/>
    <w:rsid w:val="0038595B"/>
    <w:rsid w:val="003936CC"/>
    <w:rsid w:val="00396082"/>
    <w:rsid w:val="003A0BD8"/>
    <w:rsid w:val="003B24B2"/>
    <w:rsid w:val="003C0707"/>
    <w:rsid w:val="003C19F0"/>
    <w:rsid w:val="003C2D74"/>
    <w:rsid w:val="003D4C64"/>
    <w:rsid w:val="003E21DD"/>
    <w:rsid w:val="003E77D7"/>
    <w:rsid w:val="003F0678"/>
    <w:rsid w:val="003F0FE0"/>
    <w:rsid w:val="003F58E4"/>
    <w:rsid w:val="003F612D"/>
    <w:rsid w:val="003F6E48"/>
    <w:rsid w:val="0040575F"/>
    <w:rsid w:val="00415A2B"/>
    <w:rsid w:val="0042128C"/>
    <w:rsid w:val="00431B3F"/>
    <w:rsid w:val="004320C4"/>
    <w:rsid w:val="00434050"/>
    <w:rsid w:val="00443FF1"/>
    <w:rsid w:val="00446AC5"/>
    <w:rsid w:val="00447A55"/>
    <w:rsid w:val="00453A91"/>
    <w:rsid w:val="0045480C"/>
    <w:rsid w:val="004572A2"/>
    <w:rsid w:val="00461DFD"/>
    <w:rsid w:val="00464B5D"/>
    <w:rsid w:val="0046686D"/>
    <w:rsid w:val="0047040B"/>
    <w:rsid w:val="00470AD5"/>
    <w:rsid w:val="004914CF"/>
    <w:rsid w:val="004A11C1"/>
    <w:rsid w:val="004A14E7"/>
    <w:rsid w:val="004A68A9"/>
    <w:rsid w:val="004A6D1C"/>
    <w:rsid w:val="004B1D54"/>
    <w:rsid w:val="004B277D"/>
    <w:rsid w:val="004B3814"/>
    <w:rsid w:val="004B6E73"/>
    <w:rsid w:val="004C3F2A"/>
    <w:rsid w:val="004C775D"/>
    <w:rsid w:val="004D6882"/>
    <w:rsid w:val="004E00B5"/>
    <w:rsid w:val="004E1B9E"/>
    <w:rsid w:val="004E5D17"/>
    <w:rsid w:val="004E5E3E"/>
    <w:rsid w:val="004F5EE8"/>
    <w:rsid w:val="00501040"/>
    <w:rsid w:val="00503EB4"/>
    <w:rsid w:val="00504AB5"/>
    <w:rsid w:val="00510CB6"/>
    <w:rsid w:val="00511B09"/>
    <w:rsid w:val="00513778"/>
    <w:rsid w:val="00520A7A"/>
    <w:rsid w:val="0052199E"/>
    <w:rsid w:val="00534007"/>
    <w:rsid w:val="00535CE7"/>
    <w:rsid w:val="0053731F"/>
    <w:rsid w:val="00550D47"/>
    <w:rsid w:val="00557982"/>
    <w:rsid w:val="00560480"/>
    <w:rsid w:val="005614AE"/>
    <w:rsid w:val="00562913"/>
    <w:rsid w:val="00574429"/>
    <w:rsid w:val="005769FF"/>
    <w:rsid w:val="00581573"/>
    <w:rsid w:val="0058492B"/>
    <w:rsid w:val="005868AB"/>
    <w:rsid w:val="0058700B"/>
    <w:rsid w:val="005904E0"/>
    <w:rsid w:val="00594731"/>
    <w:rsid w:val="005A0AF5"/>
    <w:rsid w:val="005A3FEC"/>
    <w:rsid w:val="005A4A0E"/>
    <w:rsid w:val="005A54CF"/>
    <w:rsid w:val="005B1146"/>
    <w:rsid w:val="005B1268"/>
    <w:rsid w:val="005B3860"/>
    <w:rsid w:val="005B5900"/>
    <w:rsid w:val="005B7596"/>
    <w:rsid w:val="005B7B71"/>
    <w:rsid w:val="005C027D"/>
    <w:rsid w:val="005C6469"/>
    <w:rsid w:val="005C66FD"/>
    <w:rsid w:val="005C79F9"/>
    <w:rsid w:val="005D5846"/>
    <w:rsid w:val="005D5AFB"/>
    <w:rsid w:val="005E298B"/>
    <w:rsid w:val="005E565B"/>
    <w:rsid w:val="005F23EA"/>
    <w:rsid w:val="005F2B24"/>
    <w:rsid w:val="0060445F"/>
    <w:rsid w:val="00616D0B"/>
    <w:rsid w:val="00626971"/>
    <w:rsid w:val="00644E78"/>
    <w:rsid w:val="00650591"/>
    <w:rsid w:val="00656F5A"/>
    <w:rsid w:val="00666237"/>
    <w:rsid w:val="00671EED"/>
    <w:rsid w:val="0068058B"/>
    <w:rsid w:val="00684B0F"/>
    <w:rsid w:val="00687A6B"/>
    <w:rsid w:val="00690D2B"/>
    <w:rsid w:val="00691671"/>
    <w:rsid w:val="006A17A5"/>
    <w:rsid w:val="006A6901"/>
    <w:rsid w:val="006A6CBB"/>
    <w:rsid w:val="006C25F3"/>
    <w:rsid w:val="006C4CD1"/>
    <w:rsid w:val="006C7008"/>
    <w:rsid w:val="006D448F"/>
    <w:rsid w:val="006D69BC"/>
    <w:rsid w:val="006E077B"/>
    <w:rsid w:val="006E44D8"/>
    <w:rsid w:val="006E5037"/>
    <w:rsid w:val="006F7856"/>
    <w:rsid w:val="007055D4"/>
    <w:rsid w:val="0070653A"/>
    <w:rsid w:val="007117B2"/>
    <w:rsid w:val="00712C24"/>
    <w:rsid w:val="00724A3B"/>
    <w:rsid w:val="00730AEA"/>
    <w:rsid w:val="0073128E"/>
    <w:rsid w:val="00733C9A"/>
    <w:rsid w:val="00751669"/>
    <w:rsid w:val="00752C35"/>
    <w:rsid w:val="00752CEF"/>
    <w:rsid w:val="00764E5A"/>
    <w:rsid w:val="0077239B"/>
    <w:rsid w:val="00772CA1"/>
    <w:rsid w:val="0077459D"/>
    <w:rsid w:val="00774AB1"/>
    <w:rsid w:val="00774DD1"/>
    <w:rsid w:val="00776FA9"/>
    <w:rsid w:val="00777ACB"/>
    <w:rsid w:val="007823C9"/>
    <w:rsid w:val="007853B2"/>
    <w:rsid w:val="007872FF"/>
    <w:rsid w:val="007A7678"/>
    <w:rsid w:val="007B1B94"/>
    <w:rsid w:val="007B4E7D"/>
    <w:rsid w:val="007C4D3B"/>
    <w:rsid w:val="007D4AC0"/>
    <w:rsid w:val="007F79DC"/>
    <w:rsid w:val="008035BB"/>
    <w:rsid w:val="00806989"/>
    <w:rsid w:val="00807D88"/>
    <w:rsid w:val="00811EA8"/>
    <w:rsid w:val="008159CF"/>
    <w:rsid w:val="0081779E"/>
    <w:rsid w:val="0082468E"/>
    <w:rsid w:val="008300F6"/>
    <w:rsid w:val="00830EC7"/>
    <w:rsid w:val="00832B39"/>
    <w:rsid w:val="008354F4"/>
    <w:rsid w:val="00836125"/>
    <w:rsid w:val="008378C6"/>
    <w:rsid w:val="00842B9A"/>
    <w:rsid w:val="00845C36"/>
    <w:rsid w:val="00851C66"/>
    <w:rsid w:val="00852620"/>
    <w:rsid w:val="00857FF6"/>
    <w:rsid w:val="00860DD0"/>
    <w:rsid w:val="00864890"/>
    <w:rsid w:val="00864D27"/>
    <w:rsid w:val="00865621"/>
    <w:rsid w:val="008672DF"/>
    <w:rsid w:val="008674EB"/>
    <w:rsid w:val="00875CE3"/>
    <w:rsid w:val="00887911"/>
    <w:rsid w:val="00892047"/>
    <w:rsid w:val="008929B1"/>
    <w:rsid w:val="00894FA5"/>
    <w:rsid w:val="00895F8A"/>
    <w:rsid w:val="008A21F5"/>
    <w:rsid w:val="008B14AE"/>
    <w:rsid w:val="008B244A"/>
    <w:rsid w:val="008B245E"/>
    <w:rsid w:val="008B365B"/>
    <w:rsid w:val="008B3B99"/>
    <w:rsid w:val="008B6F16"/>
    <w:rsid w:val="008C0C4A"/>
    <w:rsid w:val="008C319F"/>
    <w:rsid w:val="008C7172"/>
    <w:rsid w:val="008D0572"/>
    <w:rsid w:val="008D586C"/>
    <w:rsid w:val="008E7021"/>
    <w:rsid w:val="008F0433"/>
    <w:rsid w:val="008F7179"/>
    <w:rsid w:val="008F7FDC"/>
    <w:rsid w:val="00921FCF"/>
    <w:rsid w:val="009238C2"/>
    <w:rsid w:val="00925C8B"/>
    <w:rsid w:val="0093013D"/>
    <w:rsid w:val="00930D0A"/>
    <w:rsid w:val="00944260"/>
    <w:rsid w:val="00944C56"/>
    <w:rsid w:val="00952D2C"/>
    <w:rsid w:val="009545D0"/>
    <w:rsid w:val="00965850"/>
    <w:rsid w:val="00965D82"/>
    <w:rsid w:val="009713F0"/>
    <w:rsid w:val="00987BF6"/>
    <w:rsid w:val="00997552"/>
    <w:rsid w:val="009A4491"/>
    <w:rsid w:val="009A498F"/>
    <w:rsid w:val="009A52ED"/>
    <w:rsid w:val="009B5DE7"/>
    <w:rsid w:val="009C5BE7"/>
    <w:rsid w:val="009C7D4C"/>
    <w:rsid w:val="009D16F2"/>
    <w:rsid w:val="009D4F18"/>
    <w:rsid w:val="009D7E3F"/>
    <w:rsid w:val="009D7EC3"/>
    <w:rsid w:val="009E09AD"/>
    <w:rsid w:val="009E0FF8"/>
    <w:rsid w:val="009E33E1"/>
    <w:rsid w:val="009E4B22"/>
    <w:rsid w:val="009F1EEC"/>
    <w:rsid w:val="009F53ED"/>
    <w:rsid w:val="009F66EB"/>
    <w:rsid w:val="00A0243E"/>
    <w:rsid w:val="00A02D61"/>
    <w:rsid w:val="00A20AE8"/>
    <w:rsid w:val="00A35A03"/>
    <w:rsid w:val="00A460DE"/>
    <w:rsid w:val="00A500D1"/>
    <w:rsid w:val="00A50730"/>
    <w:rsid w:val="00A51226"/>
    <w:rsid w:val="00A6732C"/>
    <w:rsid w:val="00A6754C"/>
    <w:rsid w:val="00A70CAA"/>
    <w:rsid w:val="00A775A5"/>
    <w:rsid w:val="00A87F35"/>
    <w:rsid w:val="00A91DB7"/>
    <w:rsid w:val="00A92F91"/>
    <w:rsid w:val="00A9423F"/>
    <w:rsid w:val="00A9582B"/>
    <w:rsid w:val="00A965F8"/>
    <w:rsid w:val="00AA13DA"/>
    <w:rsid w:val="00AA15C2"/>
    <w:rsid w:val="00AA292A"/>
    <w:rsid w:val="00AA6F33"/>
    <w:rsid w:val="00AB0DA7"/>
    <w:rsid w:val="00AC1ED8"/>
    <w:rsid w:val="00AC5944"/>
    <w:rsid w:val="00AD2179"/>
    <w:rsid w:val="00AD4BCF"/>
    <w:rsid w:val="00AD4C7A"/>
    <w:rsid w:val="00AD7564"/>
    <w:rsid w:val="00AD75D4"/>
    <w:rsid w:val="00AE1C9A"/>
    <w:rsid w:val="00AE388E"/>
    <w:rsid w:val="00AF0EB2"/>
    <w:rsid w:val="00AF7F5F"/>
    <w:rsid w:val="00B0121A"/>
    <w:rsid w:val="00B012CE"/>
    <w:rsid w:val="00B02643"/>
    <w:rsid w:val="00B06FAE"/>
    <w:rsid w:val="00B07664"/>
    <w:rsid w:val="00B118D5"/>
    <w:rsid w:val="00B11D0D"/>
    <w:rsid w:val="00B131B2"/>
    <w:rsid w:val="00B20CE9"/>
    <w:rsid w:val="00B32B81"/>
    <w:rsid w:val="00B33BB4"/>
    <w:rsid w:val="00B371BE"/>
    <w:rsid w:val="00B416A5"/>
    <w:rsid w:val="00B5578D"/>
    <w:rsid w:val="00B65A1C"/>
    <w:rsid w:val="00B83BF4"/>
    <w:rsid w:val="00B857A6"/>
    <w:rsid w:val="00B862FE"/>
    <w:rsid w:val="00B87ADC"/>
    <w:rsid w:val="00B87F4C"/>
    <w:rsid w:val="00B944D0"/>
    <w:rsid w:val="00B963D7"/>
    <w:rsid w:val="00BA501A"/>
    <w:rsid w:val="00BA517E"/>
    <w:rsid w:val="00BA59C0"/>
    <w:rsid w:val="00BB2693"/>
    <w:rsid w:val="00BB6B72"/>
    <w:rsid w:val="00BC02BC"/>
    <w:rsid w:val="00BC076F"/>
    <w:rsid w:val="00BC1918"/>
    <w:rsid w:val="00BC2C7E"/>
    <w:rsid w:val="00BC43CC"/>
    <w:rsid w:val="00BD2373"/>
    <w:rsid w:val="00BD65EB"/>
    <w:rsid w:val="00BE03C6"/>
    <w:rsid w:val="00BE0927"/>
    <w:rsid w:val="00BE244C"/>
    <w:rsid w:val="00BE699D"/>
    <w:rsid w:val="00BE704B"/>
    <w:rsid w:val="00BF5130"/>
    <w:rsid w:val="00C025F7"/>
    <w:rsid w:val="00C05665"/>
    <w:rsid w:val="00C16C1B"/>
    <w:rsid w:val="00C219B1"/>
    <w:rsid w:val="00C22F3D"/>
    <w:rsid w:val="00C23572"/>
    <w:rsid w:val="00C319E9"/>
    <w:rsid w:val="00C4350A"/>
    <w:rsid w:val="00C529E8"/>
    <w:rsid w:val="00C602B8"/>
    <w:rsid w:val="00C6744E"/>
    <w:rsid w:val="00C77BA5"/>
    <w:rsid w:val="00C8470B"/>
    <w:rsid w:val="00C84EED"/>
    <w:rsid w:val="00C879CB"/>
    <w:rsid w:val="00C91C82"/>
    <w:rsid w:val="00CA09AE"/>
    <w:rsid w:val="00CA4441"/>
    <w:rsid w:val="00CA4CF9"/>
    <w:rsid w:val="00CC0E6A"/>
    <w:rsid w:val="00CC6F9E"/>
    <w:rsid w:val="00CD3034"/>
    <w:rsid w:val="00CD368A"/>
    <w:rsid w:val="00CE04BA"/>
    <w:rsid w:val="00CE56F7"/>
    <w:rsid w:val="00CF04CE"/>
    <w:rsid w:val="00CF1093"/>
    <w:rsid w:val="00D11485"/>
    <w:rsid w:val="00D171A8"/>
    <w:rsid w:val="00D24B3C"/>
    <w:rsid w:val="00D30042"/>
    <w:rsid w:val="00D3365B"/>
    <w:rsid w:val="00D35550"/>
    <w:rsid w:val="00D425FB"/>
    <w:rsid w:val="00D42AE0"/>
    <w:rsid w:val="00D46321"/>
    <w:rsid w:val="00D51C9F"/>
    <w:rsid w:val="00D53600"/>
    <w:rsid w:val="00D54539"/>
    <w:rsid w:val="00D61490"/>
    <w:rsid w:val="00D6559C"/>
    <w:rsid w:val="00D67354"/>
    <w:rsid w:val="00D71063"/>
    <w:rsid w:val="00D71F02"/>
    <w:rsid w:val="00D74717"/>
    <w:rsid w:val="00D7581B"/>
    <w:rsid w:val="00D81148"/>
    <w:rsid w:val="00D813CD"/>
    <w:rsid w:val="00D848FF"/>
    <w:rsid w:val="00D85F29"/>
    <w:rsid w:val="00D863B1"/>
    <w:rsid w:val="00D876BE"/>
    <w:rsid w:val="00DA0EBA"/>
    <w:rsid w:val="00DA7147"/>
    <w:rsid w:val="00DB0EC1"/>
    <w:rsid w:val="00DB4ACE"/>
    <w:rsid w:val="00DB5FAC"/>
    <w:rsid w:val="00DC5D77"/>
    <w:rsid w:val="00DC65D0"/>
    <w:rsid w:val="00DE43AC"/>
    <w:rsid w:val="00DE5975"/>
    <w:rsid w:val="00DF1B2D"/>
    <w:rsid w:val="00DF211B"/>
    <w:rsid w:val="00DF2F89"/>
    <w:rsid w:val="00DF5238"/>
    <w:rsid w:val="00DF60A1"/>
    <w:rsid w:val="00DF7C67"/>
    <w:rsid w:val="00E04B4D"/>
    <w:rsid w:val="00E0691D"/>
    <w:rsid w:val="00E12508"/>
    <w:rsid w:val="00E14C5F"/>
    <w:rsid w:val="00E177C8"/>
    <w:rsid w:val="00E2018F"/>
    <w:rsid w:val="00E20309"/>
    <w:rsid w:val="00E21B9B"/>
    <w:rsid w:val="00E25126"/>
    <w:rsid w:val="00E30C51"/>
    <w:rsid w:val="00E37855"/>
    <w:rsid w:val="00E41424"/>
    <w:rsid w:val="00E41CB6"/>
    <w:rsid w:val="00E420F4"/>
    <w:rsid w:val="00E47087"/>
    <w:rsid w:val="00E51156"/>
    <w:rsid w:val="00E52B57"/>
    <w:rsid w:val="00E52DBB"/>
    <w:rsid w:val="00E55977"/>
    <w:rsid w:val="00E642B3"/>
    <w:rsid w:val="00E70296"/>
    <w:rsid w:val="00E70C37"/>
    <w:rsid w:val="00E778F2"/>
    <w:rsid w:val="00E807C8"/>
    <w:rsid w:val="00E874FD"/>
    <w:rsid w:val="00E91291"/>
    <w:rsid w:val="00E96696"/>
    <w:rsid w:val="00E97796"/>
    <w:rsid w:val="00EA3F84"/>
    <w:rsid w:val="00EA6A5A"/>
    <w:rsid w:val="00EB1A91"/>
    <w:rsid w:val="00EB1C36"/>
    <w:rsid w:val="00EB26CB"/>
    <w:rsid w:val="00EB3356"/>
    <w:rsid w:val="00ED5767"/>
    <w:rsid w:val="00ED6266"/>
    <w:rsid w:val="00EE5C25"/>
    <w:rsid w:val="00EE5D3C"/>
    <w:rsid w:val="00EF626E"/>
    <w:rsid w:val="00F02FB1"/>
    <w:rsid w:val="00F03D3B"/>
    <w:rsid w:val="00F12F11"/>
    <w:rsid w:val="00F15238"/>
    <w:rsid w:val="00F1609E"/>
    <w:rsid w:val="00F20F45"/>
    <w:rsid w:val="00F24F3D"/>
    <w:rsid w:val="00F31D46"/>
    <w:rsid w:val="00F37C13"/>
    <w:rsid w:val="00F40263"/>
    <w:rsid w:val="00F42A16"/>
    <w:rsid w:val="00F46FED"/>
    <w:rsid w:val="00F50A52"/>
    <w:rsid w:val="00F57B30"/>
    <w:rsid w:val="00F657C6"/>
    <w:rsid w:val="00F72B96"/>
    <w:rsid w:val="00F7721E"/>
    <w:rsid w:val="00F80D18"/>
    <w:rsid w:val="00F82A09"/>
    <w:rsid w:val="00FB5500"/>
    <w:rsid w:val="00FC310A"/>
    <w:rsid w:val="00FC56E6"/>
    <w:rsid w:val="00FC584C"/>
    <w:rsid w:val="00FC6342"/>
    <w:rsid w:val="00FE2183"/>
    <w:rsid w:val="00FE3E4E"/>
    <w:rsid w:val="00FE796C"/>
    <w:rsid w:val="00FF20FF"/>
    <w:rsid w:val="00FF44E8"/>
    <w:rsid w:val="01D31697"/>
    <w:rsid w:val="027957CF"/>
    <w:rsid w:val="034842A4"/>
    <w:rsid w:val="034B3767"/>
    <w:rsid w:val="063201C0"/>
    <w:rsid w:val="067E1DDA"/>
    <w:rsid w:val="08277523"/>
    <w:rsid w:val="08840259"/>
    <w:rsid w:val="08E611BB"/>
    <w:rsid w:val="094975F9"/>
    <w:rsid w:val="094A48A5"/>
    <w:rsid w:val="095E7F7C"/>
    <w:rsid w:val="09D75EB4"/>
    <w:rsid w:val="0A2313D9"/>
    <w:rsid w:val="0B0A66F6"/>
    <w:rsid w:val="0B1E5187"/>
    <w:rsid w:val="0D0B12BC"/>
    <w:rsid w:val="0D3008A5"/>
    <w:rsid w:val="0D9F7AE4"/>
    <w:rsid w:val="0DBD4F59"/>
    <w:rsid w:val="0E62151E"/>
    <w:rsid w:val="0EDF6A16"/>
    <w:rsid w:val="0F7E6B45"/>
    <w:rsid w:val="100B1753"/>
    <w:rsid w:val="10B0455E"/>
    <w:rsid w:val="111F5493"/>
    <w:rsid w:val="11226693"/>
    <w:rsid w:val="11587BC7"/>
    <w:rsid w:val="12C1661A"/>
    <w:rsid w:val="13A57E53"/>
    <w:rsid w:val="14063438"/>
    <w:rsid w:val="14523F1E"/>
    <w:rsid w:val="14604E15"/>
    <w:rsid w:val="14ED5DC4"/>
    <w:rsid w:val="15972265"/>
    <w:rsid w:val="15EE15D4"/>
    <w:rsid w:val="161135CD"/>
    <w:rsid w:val="161E1E3C"/>
    <w:rsid w:val="16380091"/>
    <w:rsid w:val="16455694"/>
    <w:rsid w:val="16A853CC"/>
    <w:rsid w:val="16BE01F2"/>
    <w:rsid w:val="183704DE"/>
    <w:rsid w:val="19EF68BC"/>
    <w:rsid w:val="1AC042DA"/>
    <w:rsid w:val="1ACA28E8"/>
    <w:rsid w:val="1B24009C"/>
    <w:rsid w:val="1BDE37FF"/>
    <w:rsid w:val="1C844E3C"/>
    <w:rsid w:val="1DE211DA"/>
    <w:rsid w:val="1FA51369"/>
    <w:rsid w:val="1FEF6AC7"/>
    <w:rsid w:val="20B569E1"/>
    <w:rsid w:val="215923BC"/>
    <w:rsid w:val="21951551"/>
    <w:rsid w:val="21952920"/>
    <w:rsid w:val="21AA5316"/>
    <w:rsid w:val="225F5B19"/>
    <w:rsid w:val="22CF46D8"/>
    <w:rsid w:val="232B2304"/>
    <w:rsid w:val="249E25F8"/>
    <w:rsid w:val="266729FF"/>
    <w:rsid w:val="27EE10B9"/>
    <w:rsid w:val="29410625"/>
    <w:rsid w:val="29B72E30"/>
    <w:rsid w:val="2A785DEF"/>
    <w:rsid w:val="2AA915F9"/>
    <w:rsid w:val="2AE436FB"/>
    <w:rsid w:val="2AF97FB2"/>
    <w:rsid w:val="2E7478F6"/>
    <w:rsid w:val="2ED725A7"/>
    <w:rsid w:val="2F22194F"/>
    <w:rsid w:val="2F732945"/>
    <w:rsid w:val="2F8C72E3"/>
    <w:rsid w:val="2FF35045"/>
    <w:rsid w:val="304A6DE5"/>
    <w:rsid w:val="307E05A6"/>
    <w:rsid w:val="314B6F87"/>
    <w:rsid w:val="322D77BD"/>
    <w:rsid w:val="3247068A"/>
    <w:rsid w:val="32C962C6"/>
    <w:rsid w:val="32E952DE"/>
    <w:rsid w:val="341665E5"/>
    <w:rsid w:val="34842858"/>
    <w:rsid w:val="34B135DC"/>
    <w:rsid w:val="3515503B"/>
    <w:rsid w:val="35161CE2"/>
    <w:rsid w:val="355422D8"/>
    <w:rsid w:val="362D68F7"/>
    <w:rsid w:val="36B12398"/>
    <w:rsid w:val="36BE4367"/>
    <w:rsid w:val="379D02CC"/>
    <w:rsid w:val="39AF19F6"/>
    <w:rsid w:val="39E15752"/>
    <w:rsid w:val="3A015382"/>
    <w:rsid w:val="3A193463"/>
    <w:rsid w:val="3AD921B5"/>
    <w:rsid w:val="3B2127AC"/>
    <w:rsid w:val="3BCA4ED6"/>
    <w:rsid w:val="3BE42D55"/>
    <w:rsid w:val="3C541124"/>
    <w:rsid w:val="3CA12A62"/>
    <w:rsid w:val="3CAF44A8"/>
    <w:rsid w:val="3D59768B"/>
    <w:rsid w:val="3E4C118A"/>
    <w:rsid w:val="3E591C4A"/>
    <w:rsid w:val="3E845940"/>
    <w:rsid w:val="3F900D06"/>
    <w:rsid w:val="3FAF4979"/>
    <w:rsid w:val="406C313B"/>
    <w:rsid w:val="4120132C"/>
    <w:rsid w:val="41D66AF3"/>
    <w:rsid w:val="41E7037B"/>
    <w:rsid w:val="443D5B60"/>
    <w:rsid w:val="447659BC"/>
    <w:rsid w:val="4646249D"/>
    <w:rsid w:val="46F122DF"/>
    <w:rsid w:val="47864D06"/>
    <w:rsid w:val="47F95B59"/>
    <w:rsid w:val="488B56C6"/>
    <w:rsid w:val="49CA1314"/>
    <w:rsid w:val="49F7713A"/>
    <w:rsid w:val="4AB85226"/>
    <w:rsid w:val="4AEA7567"/>
    <w:rsid w:val="4B8261CE"/>
    <w:rsid w:val="4BC62151"/>
    <w:rsid w:val="4C3115F2"/>
    <w:rsid w:val="4C4D295B"/>
    <w:rsid w:val="4CA53B8D"/>
    <w:rsid w:val="4D856B8D"/>
    <w:rsid w:val="4DCE7A36"/>
    <w:rsid w:val="4E0D01D9"/>
    <w:rsid w:val="4EA32D64"/>
    <w:rsid w:val="4EC014B2"/>
    <w:rsid w:val="4EEB2489"/>
    <w:rsid w:val="4F017C15"/>
    <w:rsid w:val="4F334B95"/>
    <w:rsid w:val="50085821"/>
    <w:rsid w:val="50E87D87"/>
    <w:rsid w:val="52DE3780"/>
    <w:rsid w:val="53434E23"/>
    <w:rsid w:val="538748B8"/>
    <w:rsid w:val="53C91313"/>
    <w:rsid w:val="53F07E46"/>
    <w:rsid w:val="5448668E"/>
    <w:rsid w:val="55120BB9"/>
    <w:rsid w:val="55E41CAC"/>
    <w:rsid w:val="569964C1"/>
    <w:rsid w:val="56DC6F9D"/>
    <w:rsid w:val="576A3327"/>
    <w:rsid w:val="577F7228"/>
    <w:rsid w:val="579922C8"/>
    <w:rsid w:val="57B65496"/>
    <w:rsid w:val="58144560"/>
    <w:rsid w:val="58CD1931"/>
    <w:rsid w:val="5A1B4F45"/>
    <w:rsid w:val="5A610C4A"/>
    <w:rsid w:val="5A735093"/>
    <w:rsid w:val="5A7740F1"/>
    <w:rsid w:val="5AAD77A3"/>
    <w:rsid w:val="5B7A208C"/>
    <w:rsid w:val="5C3A32D8"/>
    <w:rsid w:val="5C823C92"/>
    <w:rsid w:val="5CF71849"/>
    <w:rsid w:val="5D626663"/>
    <w:rsid w:val="5DF10D07"/>
    <w:rsid w:val="5E18154B"/>
    <w:rsid w:val="5E791A36"/>
    <w:rsid w:val="5E90005B"/>
    <w:rsid w:val="5EEC447F"/>
    <w:rsid w:val="5F672111"/>
    <w:rsid w:val="5F941790"/>
    <w:rsid w:val="5FCE1B56"/>
    <w:rsid w:val="60093A93"/>
    <w:rsid w:val="603B4020"/>
    <w:rsid w:val="60BD1D65"/>
    <w:rsid w:val="61450706"/>
    <w:rsid w:val="62531FDD"/>
    <w:rsid w:val="63583DA4"/>
    <w:rsid w:val="675E02F8"/>
    <w:rsid w:val="67E255DB"/>
    <w:rsid w:val="688D3416"/>
    <w:rsid w:val="68CA6467"/>
    <w:rsid w:val="69306FE9"/>
    <w:rsid w:val="6A5F73E0"/>
    <w:rsid w:val="6AB66A1F"/>
    <w:rsid w:val="6AD05EEC"/>
    <w:rsid w:val="6D982CB8"/>
    <w:rsid w:val="70187FED"/>
    <w:rsid w:val="70CB2D36"/>
    <w:rsid w:val="70F82C91"/>
    <w:rsid w:val="72D03DF2"/>
    <w:rsid w:val="74A81BDD"/>
    <w:rsid w:val="76AC2445"/>
    <w:rsid w:val="76B25C80"/>
    <w:rsid w:val="77091CCA"/>
    <w:rsid w:val="777D3795"/>
    <w:rsid w:val="77E727B6"/>
    <w:rsid w:val="78ED4231"/>
    <w:rsid w:val="7971271F"/>
    <w:rsid w:val="79A10B19"/>
    <w:rsid w:val="7A0E6563"/>
    <w:rsid w:val="7A225D8D"/>
    <w:rsid w:val="7A7E31D0"/>
    <w:rsid w:val="7A9737E7"/>
    <w:rsid w:val="7C5F53ED"/>
    <w:rsid w:val="7D0A194C"/>
    <w:rsid w:val="7D6244DD"/>
    <w:rsid w:val="7DEC0FA9"/>
    <w:rsid w:val="7E2F35F7"/>
    <w:rsid w:val="7E307B16"/>
    <w:rsid w:val="7F973F5E"/>
    <w:rsid w:val="7F9D7393"/>
    <w:rsid w:val="7FDF0D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qFormat="1" w:unhideWhenUsed="0" w:uiPriority="99" w:semiHidden="0" w:name="Document Map"/>
    <w:lsdException w:uiPriority="99" w:name="Plain Text" w:locked="1"/>
    <w:lsdException w:uiPriority="99" w:name="E-mail Signature" w:locked="1"/>
    <w:lsdException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99"/>
    <w:rPr>
      <w:rFonts w:ascii="宋体"/>
      <w:sz w:val="18"/>
      <w:szCs w:val="18"/>
    </w:rPr>
  </w:style>
  <w:style w:type="paragraph" w:styleId="3">
    <w:name w:val="annotation text"/>
    <w:basedOn w:val="1"/>
    <w:link w:val="13"/>
    <w:qFormat/>
    <w:uiPriority w:val="99"/>
    <w:pPr>
      <w:jc w:val="left"/>
    </w:pPr>
  </w:style>
  <w:style w:type="paragraph" w:styleId="4">
    <w:name w:val="Balloon Text"/>
    <w:basedOn w:val="1"/>
    <w:link w:val="14"/>
    <w:qFormat/>
    <w:uiPriority w:val="99"/>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6"/>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locked/>
    <w:uiPriority w:val="99"/>
    <w:pPr>
      <w:widowControl/>
      <w:jc w:val="left"/>
    </w:pPr>
    <w:rPr>
      <w:rFonts w:ascii="宋体" w:hAnsi="宋体" w:cs="宋体"/>
      <w:kern w:val="0"/>
      <w:sz w:val="24"/>
    </w:rPr>
  </w:style>
  <w:style w:type="character" w:styleId="10">
    <w:name w:val="page number"/>
    <w:basedOn w:val="9"/>
    <w:uiPriority w:val="99"/>
    <w:rPr>
      <w:rFonts w:cs="Times New Roman"/>
    </w:rPr>
  </w:style>
  <w:style w:type="character" w:styleId="11">
    <w:name w:val="annotation reference"/>
    <w:basedOn w:val="9"/>
    <w:qFormat/>
    <w:uiPriority w:val="99"/>
    <w:rPr>
      <w:rFonts w:cs="Times New Roman"/>
      <w:sz w:val="21"/>
      <w:szCs w:val="21"/>
    </w:rPr>
  </w:style>
  <w:style w:type="character" w:customStyle="1" w:styleId="12">
    <w:name w:val="文档结构图 Char"/>
    <w:basedOn w:val="9"/>
    <w:link w:val="2"/>
    <w:qFormat/>
    <w:locked/>
    <w:uiPriority w:val="99"/>
    <w:rPr>
      <w:rFonts w:ascii="宋体" w:hAnsi="Times New Roman" w:eastAsia="宋体" w:cs="Times New Roman"/>
      <w:sz w:val="18"/>
      <w:szCs w:val="18"/>
    </w:rPr>
  </w:style>
  <w:style w:type="character" w:customStyle="1" w:styleId="13">
    <w:name w:val="批注文字 Char"/>
    <w:basedOn w:val="9"/>
    <w:link w:val="3"/>
    <w:qFormat/>
    <w:locked/>
    <w:uiPriority w:val="99"/>
    <w:rPr>
      <w:rFonts w:ascii="Times New Roman" w:hAnsi="Times New Roman" w:eastAsia="宋体" w:cs="Times New Roman"/>
      <w:sz w:val="24"/>
      <w:szCs w:val="24"/>
    </w:rPr>
  </w:style>
  <w:style w:type="character" w:customStyle="1" w:styleId="14">
    <w:name w:val="批注框文本 Char"/>
    <w:basedOn w:val="9"/>
    <w:link w:val="4"/>
    <w:qFormat/>
    <w:locked/>
    <w:uiPriority w:val="99"/>
    <w:rPr>
      <w:rFonts w:ascii="Times New Roman" w:hAnsi="Times New Roman" w:eastAsia="宋体" w:cs="Times New Roman"/>
      <w:sz w:val="18"/>
      <w:szCs w:val="18"/>
    </w:rPr>
  </w:style>
  <w:style w:type="character" w:customStyle="1" w:styleId="15">
    <w:name w:val="页脚 Char"/>
    <w:basedOn w:val="9"/>
    <w:link w:val="5"/>
    <w:semiHidden/>
    <w:locked/>
    <w:uiPriority w:val="99"/>
    <w:rPr>
      <w:rFonts w:cs="Times New Roman"/>
      <w:sz w:val="18"/>
      <w:szCs w:val="18"/>
    </w:rPr>
  </w:style>
  <w:style w:type="character" w:customStyle="1" w:styleId="16">
    <w:name w:val="页眉 Char"/>
    <w:basedOn w:val="9"/>
    <w:link w:val="6"/>
    <w:semiHidden/>
    <w:qFormat/>
    <w:locked/>
    <w:uiPriority w:val="99"/>
    <w:rPr>
      <w:rFonts w:cs="Times New Roman"/>
      <w:sz w:val="18"/>
      <w:szCs w:val="18"/>
    </w:rPr>
  </w:style>
  <w:style w:type="paragraph" w:customStyle="1" w:styleId="17">
    <w:name w:val="Char Char Char Char Char Char Char"/>
    <w:basedOn w:val="1"/>
    <w:qFormat/>
    <w:uiPriority w:val="99"/>
    <w:rPr>
      <w:szCs w:val="21"/>
    </w:rPr>
  </w:style>
  <w:style w:type="paragraph" w:customStyle="1" w:styleId="18">
    <w:name w:val="Char Char3 Char Char Char Char"/>
    <w:basedOn w:val="1"/>
    <w:qFormat/>
    <w:uiPriority w:val="99"/>
    <w:rPr>
      <w:szCs w:val="21"/>
    </w:rPr>
  </w:style>
  <w:style w:type="paragraph" w:customStyle="1" w:styleId="19">
    <w:name w:val="默认段落字体 Para Char Char Char Char"/>
    <w:basedOn w:val="1"/>
    <w:qFormat/>
    <w:uiPriority w:val="99"/>
    <w:rPr>
      <w:sz w:val="32"/>
      <w:szCs w:val="32"/>
    </w:rPr>
  </w:style>
  <w:style w:type="paragraph" w:customStyle="1" w:styleId="20">
    <w:name w:val="List Paragraph1"/>
    <w:basedOn w:val="1"/>
    <w:qFormat/>
    <w:uiPriority w:val="99"/>
    <w:pPr>
      <w:ind w:firstLine="420" w:firstLineChars="200"/>
    </w:pPr>
    <w:rPr>
      <w:rFonts w:ascii="Calibri" w:hAnsi="Calibri"/>
      <w:szCs w:val="22"/>
    </w:rPr>
  </w:style>
  <w:style w:type="character" w:customStyle="1" w:styleId="21">
    <w:name w:val="15"/>
    <w:basedOn w:val="9"/>
    <w:qFormat/>
    <w:uiPriority w:val="0"/>
    <w:rPr>
      <w:rFonts w:hint="default" w:ascii="Times New Roman" w:hAnsi="Times New Roman" w:cs="Times New Roman"/>
      <w:b/>
      <w:bCs/>
    </w:rPr>
  </w:style>
  <w:style w:type="paragraph" w:customStyle="1" w:styleId="2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23">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031B9C-3949-41D4-A11E-1EB8BB0DF87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4062</Words>
  <Characters>4896</Characters>
  <Lines>7</Lines>
  <Paragraphs>9</Paragraphs>
  <TotalTime>475</TotalTime>
  <ScaleCrop>false</ScaleCrop>
  <LinksUpToDate>false</LinksUpToDate>
  <CharactersWithSpaces>4898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2020-01-14T03:36:00Z</dcterms:created>
  <dc:creator>潘晓琳</dc:creator>
  <cp:lastModifiedBy>张小婧 </cp:lastModifiedBy>
  <cp:lastPrinted>2020-01-16T07:23:00Z</cp:lastPrinted>
  <dcterms:modified xsi:type="dcterms:W3CDTF">2023-05-10T09:34:49Z</dcterms:modified>
  <dc:title>关于2018年高新区一般公共预算收入执行情况的说明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D56982FCF85D4AD0ABEBB783CC17764F</vt:lpwstr>
  </property>
</Properties>
</file>