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ascii="方正小标宋_GBK" w:hAnsi="黑体" w:eastAsia="方正小标宋_GBK" w:cs="宋体"/>
          <w:sz w:val="44"/>
          <w:szCs w:val="44"/>
        </w:rPr>
      </w:pPr>
      <w:bookmarkStart w:id="0" w:name="_Toc933820834"/>
      <w:r>
        <w:rPr>
          <w:rFonts w:hint="eastAsia" w:ascii="方正小标宋_GBK" w:hAnsi="黑体" w:eastAsia="方正小标宋_GBK" w:cs="宋体"/>
          <w:sz w:val="44"/>
          <w:szCs w:val="44"/>
        </w:rPr>
        <w:t>2022年度</w:t>
      </w:r>
      <w:bookmarkStart w:id="1" w:name="_Hlk155461725"/>
      <w:r>
        <w:rPr>
          <w:rFonts w:hint="eastAsia" w:ascii="方正小标宋_GBK" w:hAnsi="黑体" w:eastAsia="方正小标宋_GBK" w:cs="宋体"/>
          <w:sz w:val="44"/>
          <w:szCs w:val="44"/>
        </w:rPr>
        <w:t>平顶山高新区基本公共卫生服务</w:t>
      </w:r>
    </w:p>
    <w:p>
      <w:pPr>
        <w:widowControl/>
        <w:spacing w:line="600" w:lineRule="exact"/>
        <w:jc w:val="center"/>
        <w:rPr>
          <w:rFonts w:ascii="方正小标宋_GBK" w:hAnsi="黑体" w:eastAsia="方正小标宋_GBK" w:cs="宋体"/>
          <w:sz w:val="44"/>
          <w:szCs w:val="44"/>
        </w:rPr>
      </w:pPr>
      <w:r>
        <w:rPr>
          <w:rFonts w:hint="eastAsia" w:ascii="方正小标宋_GBK" w:hAnsi="黑体" w:eastAsia="方正小标宋_GBK" w:cs="宋体"/>
          <w:sz w:val="44"/>
          <w:szCs w:val="44"/>
        </w:rPr>
        <w:t>项目</w:t>
      </w:r>
      <w:bookmarkEnd w:id="1"/>
      <w:r>
        <w:rPr>
          <w:rFonts w:hint="eastAsia" w:ascii="方正小标宋_GBK" w:hAnsi="黑体" w:eastAsia="方正小标宋_GBK" w:cs="宋体"/>
          <w:sz w:val="44"/>
          <w:szCs w:val="44"/>
        </w:rPr>
        <w:t>绩效评价报告</w:t>
      </w:r>
      <w:bookmarkEnd w:id="0"/>
    </w:p>
    <w:p>
      <w:pPr>
        <w:pStyle w:val="2"/>
        <w:keepNext/>
        <w:keepLines/>
        <w:ind w:firstLine="640" w:firstLineChars="200"/>
        <w:contextualSpacing w:val="0"/>
        <w:rPr>
          <w:rFonts w:hAnsi="仿宋_GB2312" w:eastAsia="黑体"/>
          <w:b w:val="0"/>
          <w:kern w:val="44"/>
          <w:szCs w:val="32"/>
          <w:lang w:eastAsia="zh-Hans"/>
        </w:rPr>
      </w:pPr>
      <w:bookmarkStart w:id="2" w:name="_Toc154722880"/>
      <w:bookmarkStart w:id="3" w:name="_Toc154722941"/>
      <w:r>
        <w:rPr>
          <w:rFonts w:hint="eastAsia" w:hAnsi="仿宋_GB2312" w:eastAsia="黑体"/>
          <w:b w:val="0"/>
          <w:kern w:val="44"/>
          <w:szCs w:val="32"/>
        </w:rPr>
        <w:t>一、</w:t>
      </w:r>
      <w:r>
        <w:rPr>
          <w:rFonts w:hint="eastAsia" w:hAnsi="仿宋_GB2312" w:eastAsia="黑体"/>
          <w:b w:val="0"/>
          <w:kern w:val="44"/>
          <w:szCs w:val="32"/>
          <w:lang w:eastAsia="zh-Hans"/>
        </w:rPr>
        <w:t>基本情况</w:t>
      </w:r>
      <w:bookmarkEnd w:id="2"/>
      <w:bookmarkEnd w:id="3"/>
    </w:p>
    <w:p>
      <w:pPr>
        <w:pStyle w:val="3"/>
        <w:ind w:firstLine="640"/>
        <w:rPr>
          <w:rFonts w:eastAsia="楷体_GB2312" w:cs="仿宋_GB2312"/>
          <w:b w:val="0"/>
          <w:szCs w:val="32"/>
        </w:rPr>
      </w:pPr>
      <w:bookmarkStart w:id="4" w:name="_Toc154722881"/>
      <w:bookmarkStart w:id="5" w:name="_Toc154722942"/>
      <w:r>
        <w:rPr>
          <w:rFonts w:hint="eastAsia" w:eastAsia="楷体_GB2312" w:cs="仿宋_GB2312"/>
          <w:b w:val="0"/>
          <w:szCs w:val="32"/>
        </w:rPr>
        <w:t>（一）项目立项背景、目的及主要内容</w:t>
      </w:r>
      <w:bookmarkEnd w:id="4"/>
      <w:bookmarkEnd w:id="5"/>
    </w:p>
    <w:p>
      <w:pPr>
        <w:pStyle w:val="4"/>
        <w:spacing w:line="360" w:lineRule="auto"/>
        <w:rPr>
          <w:rFonts w:hAnsi="仿宋_GB2312" w:cs="仿宋_GB2312"/>
        </w:rPr>
      </w:pPr>
      <w:bookmarkStart w:id="6" w:name="_Toc154722943"/>
      <w:bookmarkStart w:id="7" w:name="_Toc154722882"/>
      <w:r>
        <w:rPr>
          <w:rFonts w:hint="eastAsia" w:hAnsi="仿宋_GB2312" w:cs="仿宋_GB2312"/>
        </w:rPr>
        <w:t>1.项目立项背景及目的</w:t>
      </w:r>
      <w:bookmarkEnd w:id="6"/>
      <w:bookmarkEnd w:id="7"/>
    </w:p>
    <w:p>
      <w:pPr>
        <w:spacing w:line="560" w:lineRule="exact"/>
        <w:ind w:firstLine="640" w:firstLineChars="200"/>
        <w:rPr>
          <w:rFonts w:ascii="仿宋_GB2312" w:hAnsi="仿宋_GB2312" w:cs="仿宋_GB2312"/>
          <w:sz w:val="32"/>
          <w:szCs w:val="32"/>
        </w:rPr>
      </w:pPr>
      <w:bookmarkStart w:id="8" w:name="_Hlk154514726"/>
      <w:r>
        <w:rPr>
          <w:rFonts w:hint="eastAsia" w:ascii="仿宋_GB2312" w:hAnsi="仿宋_GB2312" w:cs="仿宋_GB2312"/>
          <w:sz w:val="32"/>
          <w:szCs w:val="32"/>
        </w:rPr>
        <w:t>根据</w:t>
      </w:r>
      <w:bookmarkStart w:id="9" w:name="_Hlk154685459"/>
      <w:r>
        <w:rPr>
          <w:rFonts w:hint="eastAsia" w:ascii="仿宋_GB2312" w:hAnsi="仿宋_GB2312" w:cs="仿宋_GB2312"/>
          <w:sz w:val="32"/>
          <w:szCs w:val="32"/>
        </w:rPr>
        <w:t>《关于做好2022年基本公共卫生服务工作的通知》（国卫基层发〔2022〕21号）</w:t>
      </w:r>
      <w:bookmarkEnd w:id="9"/>
      <w:r>
        <w:rPr>
          <w:rFonts w:hint="eastAsia" w:ascii="仿宋_GB2312" w:hAnsi="仿宋_GB2312" w:cs="仿宋_GB2312"/>
          <w:sz w:val="32"/>
          <w:szCs w:val="32"/>
        </w:rPr>
        <w:t>，项目内容主要包括：一是指导基层医疗卫生机构结合基本公共卫生服务项目中传染病及突发公共卫生事件报告和处理，切实做好疫情防控相关工作，统筹实施好居民健康档案管理、健康教育，预防接种，0～6岁儿童、孕产妇、老年人、高血压及2型糖尿病等慢性病患者、严重精神障碍患者、肺结核患者健康管理、中医药健康管理、卫生监督协管等服务项目；二是不限于基层医疗卫生机构实施的地方病防治、职业病防治、人禽流感和SARS防控、鼠疫防治、国家卫生应急队伍运维保障、农村妇女“两癌”检查、基本避孕服务、脱贫地区儿童营养改善、脱贫地区新生儿疾病筛查、增补叶酸预防神经管缺陷、国家免费孕前优生健康检查、地中海贫血防控、食品安全标准跟踪评价、健康素养促进、老年健康与医养结合服务、卫生健康项目监督等16项服务内容（详见附件一）。</w:t>
      </w:r>
    </w:p>
    <w:bookmarkEnd w:id="8"/>
    <w:p>
      <w:pPr>
        <w:spacing w:line="560" w:lineRule="exact"/>
        <w:ind w:firstLine="640" w:firstLineChars="200"/>
        <w:rPr>
          <w:rFonts w:ascii="仿宋_GB2312" w:hAnsi="仿宋_GB2312" w:cs="仿宋_GB2312"/>
          <w:sz w:val="32"/>
          <w:szCs w:val="32"/>
        </w:rPr>
      </w:pPr>
      <w:bookmarkStart w:id="10" w:name="_Hlk154640553"/>
      <w:r>
        <w:rPr>
          <w:rFonts w:hint="eastAsia" w:ascii="仿宋_GB2312" w:hAnsi="仿宋_GB2312" w:cs="仿宋_GB2312"/>
          <w:sz w:val="32"/>
          <w:szCs w:val="32"/>
        </w:rPr>
        <w:t>2022年</w:t>
      </w:r>
      <w:bookmarkStart w:id="11" w:name="_Hlk154641199"/>
      <w:r>
        <w:rPr>
          <w:rFonts w:hint="eastAsia" w:ascii="仿宋_GB2312" w:hAnsi="仿宋_GB2312" w:cs="仿宋_GB2312"/>
          <w:sz w:val="32"/>
          <w:szCs w:val="32"/>
        </w:rPr>
        <w:t>基本公共卫生服务经费</w:t>
      </w:r>
      <w:bookmarkEnd w:id="11"/>
      <w:r>
        <w:rPr>
          <w:rFonts w:hint="eastAsia" w:ascii="仿宋_GB2312" w:hAnsi="仿宋_GB2312" w:cs="仿宋_GB2312"/>
          <w:sz w:val="32"/>
          <w:szCs w:val="32"/>
        </w:rPr>
        <w:t>人均财政补助标准为84元</w:t>
      </w:r>
      <w:bookmarkEnd w:id="10"/>
      <w:r>
        <w:rPr>
          <w:rFonts w:hint="eastAsia" w:ascii="仿宋_GB2312" w:hAnsi="仿宋_GB2312" w:cs="仿宋_GB2312"/>
          <w:sz w:val="32"/>
          <w:szCs w:val="32"/>
        </w:rPr>
        <w:t>，所需资金主要由政府承担，目的是促进基本公共卫生服务逐步均等化，是深化医药卫生体制改革的重要工作，是我国政府针对当前城乡居民存在的主要健康问题，以儿童、孕产妇、老年人、慢性疾病患者为重点人群，面向全体居民免费提供的最基本的公共卫生服务，城乡居民可直接受益。2022年1月平顶山市财政局、平顶山市卫生健康委员会联合下发</w:t>
      </w:r>
      <w:bookmarkStart w:id="12" w:name="_Hlk155420635"/>
      <w:r>
        <w:rPr>
          <w:rFonts w:hint="eastAsia" w:ascii="仿宋_GB2312" w:hAnsi="仿宋_GB2312" w:cs="仿宋_GB2312"/>
          <w:sz w:val="32"/>
          <w:szCs w:val="32"/>
        </w:rPr>
        <w:t>《关于提前下达2022年基本公共卫生服务补助资金的通知》</w:t>
      </w:r>
      <w:bookmarkEnd w:id="12"/>
      <w:bookmarkStart w:id="13" w:name="_Hlk155420705"/>
      <w:r>
        <w:rPr>
          <w:rFonts w:hint="eastAsia" w:ascii="仿宋_GB2312" w:hAnsi="仿宋_GB2312" w:cs="仿宋_GB2312"/>
          <w:sz w:val="32"/>
          <w:szCs w:val="32"/>
        </w:rPr>
        <w:t>（</w:t>
      </w:r>
      <w:bookmarkStart w:id="14" w:name="_Hlk154515305"/>
      <w:r>
        <w:rPr>
          <w:rFonts w:hint="eastAsia" w:ascii="仿宋_GB2312" w:hAnsi="仿宋_GB2312" w:cs="仿宋_GB2312"/>
          <w:sz w:val="32"/>
          <w:szCs w:val="32"/>
        </w:rPr>
        <w:t>平财豫〔2022〕12号</w:t>
      </w:r>
      <w:bookmarkEnd w:id="14"/>
      <w:r>
        <w:rPr>
          <w:rFonts w:hint="eastAsia" w:ascii="仿宋_GB2312" w:hAnsi="仿宋_GB2312" w:cs="仿宋_GB2312"/>
          <w:sz w:val="32"/>
          <w:szCs w:val="32"/>
        </w:rPr>
        <w:t>）</w:t>
      </w:r>
      <w:bookmarkEnd w:id="13"/>
      <w:r>
        <w:rPr>
          <w:rFonts w:hint="eastAsia" w:ascii="仿宋_GB2312" w:hAnsi="仿宋_GB2312" w:cs="仿宋_GB2312"/>
          <w:sz w:val="32"/>
          <w:szCs w:val="32"/>
        </w:rPr>
        <w:t>，提前拨付高新区财政局中央补助资金205.27万元，用于基本公共卫生服务经费支出，项目正式立项。</w:t>
      </w:r>
    </w:p>
    <w:p>
      <w:pPr>
        <w:pStyle w:val="4"/>
        <w:spacing w:line="360" w:lineRule="auto"/>
        <w:rPr>
          <w:rFonts w:hAnsi="仿宋_GB2312" w:cs="仿宋_GB2312"/>
        </w:rPr>
      </w:pPr>
      <w:bookmarkStart w:id="15" w:name="_Toc154722883"/>
      <w:bookmarkStart w:id="16" w:name="_Toc154722944"/>
      <w:r>
        <w:rPr>
          <w:rFonts w:hint="eastAsia" w:hAnsi="仿宋_GB2312" w:cs="仿宋_GB2312"/>
        </w:rPr>
        <w:t>2.项目主要内容</w:t>
      </w:r>
      <w:bookmarkEnd w:id="15"/>
      <w:bookmarkEnd w:id="16"/>
    </w:p>
    <w:p>
      <w:pPr>
        <w:spacing w:line="560" w:lineRule="exact"/>
        <w:ind w:firstLine="640" w:firstLineChars="200"/>
        <w:rPr>
          <w:rFonts w:ascii="仿宋_GB2312" w:hAnsi="仿宋_GB2312" w:cs="仿宋_GB2312"/>
          <w:sz w:val="32"/>
          <w:szCs w:val="32"/>
        </w:rPr>
      </w:pPr>
      <w:r>
        <w:rPr>
          <w:rFonts w:hint="eastAsia" w:ascii="仿宋_GB2312" w:hAnsi="仿宋_GB2312" w:cs="仿宋_GB2312"/>
          <w:sz w:val="32"/>
          <w:szCs w:val="32"/>
        </w:rPr>
        <w:t>根据《关于提前下达2022年基本公共卫生服务补助资金的通知》（平财豫〔2022〕12号）所附中央补助资金分配明细，该项目资金主要用于原基本公共卫生服务及新划入基本公卫服务，具体内容包括建立居民健康档案、职业病防治、健康教育、预防接种、0～6岁儿童健康管理、孕产妇健康管理、老年人健康管理、人口监测等。</w:t>
      </w:r>
    </w:p>
    <w:p>
      <w:pPr>
        <w:pStyle w:val="3"/>
        <w:ind w:firstLine="640"/>
        <w:rPr>
          <w:rFonts w:eastAsia="楷体_GB2312" w:cs="仿宋_GB2312"/>
          <w:b w:val="0"/>
          <w:szCs w:val="32"/>
        </w:rPr>
      </w:pPr>
      <w:bookmarkStart w:id="17" w:name="_Toc154722945"/>
      <w:bookmarkStart w:id="18" w:name="_Toc154722884"/>
      <w:r>
        <w:rPr>
          <w:rFonts w:hint="eastAsia" w:eastAsia="楷体_GB2312" w:cs="仿宋_GB2312"/>
          <w:b w:val="0"/>
          <w:szCs w:val="32"/>
        </w:rPr>
        <w:t>（二）资金投入和使用情况</w:t>
      </w:r>
      <w:bookmarkEnd w:id="17"/>
      <w:bookmarkEnd w:id="18"/>
      <w:bookmarkStart w:id="19" w:name="_Toc2078995805"/>
    </w:p>
    <w:p>
      <w:pPr>
        <w:pStyle w:val="4"/>
        <w:spacing w:line="360" w:lineRule="auto"/>
        <w:rPr>
          <w:rFonts w:hAnsi="仿宋_GB2312" w:cs="仿宋_GB2312"/>
        </w:rPr>
      </w:pPr>
      <w:bookmarkStart w:id="20" w:name="_Toc154722946"/>
      <w:bookmarkStart w:id="21" w:name="_Toc154722885"/>
      <w:r>
        <w:rPr>
          <w:rFonts w:hint="eastAsia" w:hAnsi="仿宋_GB2312" w:cs="仿宋_GB2312"/>
        </w:rPr>
        <w:t>1.预算资金投入</w:t>
      </w:r>
      <w:bookmarkEnd w:id="20"/>
      <w:bookmarkEnd w:id="21"/>
    </w:p>
    <w:p>
      <w:pPr>
        <w:spacing w:line="560" w:lineRule="exact"/>
        <w:ind w:firstLine="640" w:firstLineChars="200"/>
        <w:rPr>
          <w:rFonts w:ascii="仿宋_GB2312" w:hAnsi="仿宋_GB2312" w:cs="仿宋_GB2312"/>
          <w:sz w:val="32"/>
          <w:szCs w:val="32"/>
        </w:rPr>
      </w:pPr>
      <w:r>
        <w:rPr>
          <w:rFonts w:hint="eastAsia" w:ascii="仿宋_GB2312" w:hAnsi="仿宋_GB2312" w:cs="仿宋_GB2312"/>
          <w:sz w:val="32"/>
          <w:szCs w:val="32"/>
        </w:rPr>
        <w:t>高新区辖区核定人数5.34万人，2022年基本公共卫生服务经费人均财政补助标准为84元，全年基本公卫服务经费应拨付449万元，其中中央、省、市下达321.48万元，区级应匹配140.52万元，高新区财政统一安排，2022年实际配套55.36万元，剩余缺口85.16万元，使用往年结余资金以及预算外资金进行支付。项目资金实际投入总额为</w:t>
      </w:r>
      <w:bookmarkStart w:id="22" w:name="_Hlk154684837"/>
      <w:bookmarkStart w:id="23" w:name="_Hlk154644813"/>
      <w:r>
        <w:rPr>
          <w:rFonts w:hint="eastAsia" w:ascii="仿宋_GB2312" w:hAnsi="仿宋_GB2312" w:cs="仿宋_GB2312"/>
          <w:sz w:val="32"/>
          <w:szCs w:val="32"/>
        </w:rPr>
        <w:t>376.84</w:t>
      </w:r>
      <w:bookmarkEnd w:id="22"/>
      <w:r>
        <w:rPr>
          <w:rFonts w:hint="eastAsia" w:ascii="仿宋_GB2312" w:hAnsi="仿宋_GB2312" w:cs="仿宋_GB2312"/>
          <w:sz w:val="32"/>
          <w:szCs w:val="32"/>
        </w:rPr>
        <w:t>万元</w:t>
      </w:r>
      <w:bookmarkEnd w:id="23"/>
      <w:r>
        <w:rPr>
          <w:rFonts w:hint="eastAsia" w:ascii="仿宋_GB2312" w:hAnsi="仿宋_GB2312" w:cs="仿宋_GB2312"/>
          <w:sz w:val="32"/>
          <w:szCs w:val="32"/>
        </w:rPr>
        <w:t>，其中</w:t>
      </w:r>
      <w:bookmarkStart w:id="24" w:name="_Hlk154685059"/>
      <w:r>
        <w:rPr>
          <w:rFonts w:hint="eastAsia" w:ascii="仿宋_GB2312" w:hAnsi="仿宋_GB2312" w:cs="仿宋_GB2312"/>
          <w:sz w:val="32"/>
          <w:szCs w:val="32"/>
        </w:rPr>
        <w:t>中央补助资金245.48万元，省级补助资金49.06万元，市财政补助26.94万元，区财政配套55.36万元。</w:t>
      </w:r>
    </w:p>
    <w:bookmarkEnd w:id="24"/>
    <w:p>
      <w:pPr>
        <w:pStyle w:val="4"/>
        <w:spacing w:line="360" w:lineRule="auto"/>
        <w:rPr>
          <w:rFonts w:hAnsi="仿宋_GB2312" w:cs="仿宋_GB2312"/>
        </w:rPr>
      </w:pPr>
      <w:bookmarkStart w:id="25" w:name="_Toc154722947"/>
      <w:bookmarkStart w:id="26" w:name="_Toc154722886"/>
      <w:r>
        <w:rPr>
          <w:rFonts w:hint="eastAsia" w:hAnsi="仿宋_GB2312" w:cs="仿宋_GB2312"/>
        </w:rPr>
        <w:t>2.预算执行情况</w:t>
      </w:r>
      <w:bookmarkEnd w:id="25"/>
      <w:bookmarkEnd w:id="26"/>
    </w:p>
    <w:p>
      <w:pPr>
        <w:spacing w:line="560" w:lineRule="exact"/>
        <w:ind w:firstLine="640" w:firstLineChars="200"/>
        <w:rPr>
          <w:rFonts w:hint="eastAsia" w:ascii="仿宋_GB2312" w:hAnsi="仿宋_GB2312" w:cs="仿宋_GB2312"/>
          <w:sz w:val="32"/>
          <w:szCs w:val="32"/>
        </w:rPr>
      </w:pPr>
      <w:r>
        <w:rPr>
          <w:rFonts w:hint="eastAsia" w:ascii="仿宋_GB2312" w:hAnsi="仿宋_GB2312" w:cs="仿宋_GB2312"/>
          <w:sz w:val="32"/>
          <w:szCs w:val="32"/>
        </w:rPr>
        <w:t>截至2022年12月31日，该项目预算资金总额为376.84万元，</w:t>
      </w:r>
      <w:bookmarkStart w:id="27" w:name="_Hlk155453251"/>
      <w:r>
        <w:rPr>
          <w:rFonts w:hint="eastAsia" w:ascii="仿宋_GB2312" w:hAnsi="仿宋_GB2312" w:cs="仿宋_GB2312"/>
          <w:sz w:val="32"/>
          <w:szCs w:val="32"/>
        </w:rPr>
        <w:t>实际拨付4家基层服务单位预算资金共计238.26万元（见表1），执行率为63.22%。2</w:t>
      </w:r>
      <w:bookmarkEnd w:id="27"/>
      <w:r>
        <w:rPr>
          <w:rFonts w:hint="eastAsia" w:ascii="仿宋_GB2312" w:hAnsi="仿宋_GB2312" w:cs="仿宋_GB2312"/>
          <w:sz w:val="32"/>
          <w:szCs w:val="32"/>
        </w:rPr>
        <w:t>022年项目补助资金剩余资金138.58万元于2023年拨付到位。</w:t>
      </w:r>
    </w:p>
    <w:p>
      <w:pPr>
        <w:spacing w:line="560" w:lineRule="exact"/>
        <w:ind w:firstLine="562" w:firstLineChars="200"/>
        <w:jc w:val="center"/>
        <w:rPr>
          <w:rFonts w:ascii="仿宋_GB2312" w:hAnsi="宋体" w:cs="宋体"/>
          <w:b/>
          <w:bCs/>
          <w:kern w:val="0"/>
          <w:sz w:val="28"/>
          <w:szCs w:val="28"/>
        </w:rPr>
      </w:pPr>
      <w:r>
        <w:rPr>
          <w:rFonts w:hint="eastAsia" w:ascii="仿宋_GB2312" w:hAnsi="宋体" w:cs="宋体"/>
          <w:b/>
          <w:bCs/>
          <w:kern w:val="0"/>
          <w:sz w:val="28"/>
          <w:szCs w:val="28"/>
        </w:rPr>
        <w:t>表1.基本公共卫生服务项目补助资金拨付情况表</w:t>
      </w:r>
    </w:p>
    <w:tbl>
      <w:tblPr>
        <w:tblStyle w:val="9"/>
        <w:tblW w:w="8824" w:type="dxa"/>
        <w:tblInd w:w="113" w:type="dxa"/>
        <w:tblLayout w:type="autofit"/>
        <w:tblCellMar>
          <w:top w:w="0" w:type="dxa"/>
          <w:left w:w="108" w:type="dxa"/>
          <w:bottom w:w="0" w:type="dxa"/>
          <w:right w:w="108" w:type="dxa"/>
        </w:tblCellMar>
      </w:tblPr>
      <w:tblGrid>
        <w:gridCol w:w="1450"/>
        <w:gridCol w:w="5097"/>
        <w:gridCol w:w="2277"/>
      </w:tblGrid>
      <w:tr>
        <w:tblPrEx>
          <w:tblCellMar>
            <w:top w:w="0" w:type="dxa"/>
            <w:left w:w="108" w:type="dxa"/>
            <w:bottom w:w="0" w:type="dxa"/>
            <w:right w:w="108" w:type="dxa"/>
          </w:tblCellMar>
        </w:tblPrEx>
        <w:trPr>
          <w:trHeight w:val="369" w:hRule="exact"/>
        </w:trPr>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宋体" w:cs="宋体"/>
                <w:sz w:val="24"/>
                <w:szCs w:val="22"/>
              </w:rPr>
            </w:pPr>
            <w:r>
              <w:rPr>
                <w:rFonts w:hint="eastAsia" w:ascii="仿宋_GB2312" w:hAnsi="宋体" w:cs="宋体"/>
                <w:sz w:val="24"/>
                <w:szCs w:val="22"/>
              </w:rPr>
              <w:t>序号</w:t>
            </w:r>
          </w:p>
        </w:tc>
        <w:tc>
          <w:tcPr>
            <w:tcW w:w="5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宋体" w:cs="宋体"/>
                <w:sz w:val="24"/>
                <w:szCs w:val="22"/>
              </w:rPr>
            </w:pPr>
            <w:r>
              <w:rPr>
                <w:rFonts w:hint="eastAsia" w:ascii="仿宋_GB2312" w:hAnsi="宋体" w:cs="宋体"/>
                <w:sz w:val="24"/>
                <w:szCs w:val="22"/>
              </w:rPr>
              <w:t>收款单位</w:t>
            </w:r>
          </w:p>
        </w:tc>
        <w:tc>
          <w:tcPr>
            <w:tcW w:w="22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宋体" w:cs="宋体"/>
                <w:sz w:val="24"/>
                <w:szCs w:val="22"/>
              </w:rPr>
            </w:pPr>
            <w:r>
              <w:rPr>
                <w:rFonts w:hint="eastAsia" w:ascii="仿宋_GB2312" w:hAnsi="宋体" w:cs="宋体"/>
                <w:sz w:val="24"/>
                <w:szCs w:val="22"/>
              </w:rPr>
              <w:t>金额（万元）</w:t>
            </w:r>
          </w:p>
        </w:tc>
      </w:tr>
      <w:tr>
        <w:tblPrEx>
          <w:tblCellMar>
            <w:top w:w="0" w:type="dxa"/>
            <w:left w:w="108" w:type="dxa"/>
            <w:bottom w:w="0" w:type="dxa"/>
            <w:right w:w="108" w:type="dxa"/>
          </w:tblCellMar>
        </w:tblPrEx>
        <w:trPr>
          <w:trHeight w:val="369" w:hRule="exact"/>
        </w:trPr>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宋体" w:cs="宋体"/>
                <w:sz w:val="24"/>
                <w:szCs w:val="22"/>
              </w:rPr>
            </w:pPr>
            <w:r>
              <w:rPr>
                <w:rFonts w:hint="eastAsia" w:ascii="仿宋_GB2312" w:hAnsi="宋体" w:cs="宋体"/>
                <w:sz w:val="24"/>
                <w:szCs w:val="22"/>
              </w:rPr>
              <w:t>1</w:t>
            </w:r>
          </w:p>
        </w:tc>
        <w:tc>
          <w:tcPr>
            <w:tcW w:w="5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仿宋_GB2312" w:hAnsi="宋体" w:cs="宋体"/>
                <w:sz w:val="24"/>
                <w:szCs w:val="22"/>
              </w:rPr>
            </w:pPr>
            <w:r>
              <w:rPr>
                <w:rFonts w:hint="eastAsia" w:ascii="仿宋_GB2312" w:hAnsi="宋体" w:cs="宋体"/>
                <w:sz w:val="24"/>
                <w:szCs w:val="22"/>
              </w:rPr>
              <w:t>高新区皇台社区卫生服务中心</w:t>
            </w:r>
          </w:p>
        </w:tc>
        <w:tc>
          <w:tcPr>
            <w:tcW w:w="22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宋体" w:cs="宋体"/>
                <w:sz w:val="24"/>
                <w:szCs w:val="22"/>
              </w:rPr>
            </w:pPr>
            <w:r>
              <w:rPr>
                <w:rFonts w:hint="eastAsia" w:ascii="仿宋_GB2312" w:hAnsi="宋体" w:cs="宋体"/>
                <w:sz w:val="24"/>
                <w:szCs w:val="22"/>
              </w:rPr>
              <w:t>89.48</w:t>
            </w:r>
          </w:p>
        </w:tc>
      </w:tr>
      <w:tr>
        <w:tblPrEx>
          <w:tblCellMar>
            <w:top w:w="0" w:type="dxa"/>
            <w:left w:w="108" w:type="dxa"/>
            <w:bottom w:w="0" w:type="dxa"/>
            <w:right w:w="108" w:type="dxa"/>
          </w:tblCellMar>
        </w:tblPrEx>
        <w:trPr>
          <w:trHeight w:val="369" w:hRule="exact"/>
        </w:trPr>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宋体" w:cs="宋体"/>
                <w:sz w:val="24"/>
                <w:szCs w:val="22"/>
              </w:rPr>
            </w:pPr>
            <w:r>
              <w:rPr>
                <w:rFonts w:hint="eastAsia" w:ascii="仿宋_GB2312" w:hAnsi="宋体" w:cs="宋体"/>
                <w:sz w:val="24"/>
                <w:szCs w:val="22"/>
              </w:rPr>
              <w:t>2</w:t>
            </w:r>
          </w:p>
        </w:tc>
        <w:tc>
          <w:tcPr>
            <w:tcW w:w="5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仿宋_GB2312" w:hAnsi="宋体" w:cs="宋体"/>
                <w:sz w:val="24"/>
                <w:szCs w:val="22"/>
              </w:rPr>
            </w:pPr>
            <w:r>
              <w:rPr>
                <w:rFonts w:hint="eastAsia" w:ascii="仿宋_GB2312" w:hAnsi="宋体" w:cs="宋体"/>
                <w:sz w:val="24"/>
                <w:szCs w:val="22"/>
              </w:rPr>
              <w:t>高新区遵化店镇卫生院</w:t>
            </w:r>
          </w:p>
        </w:tc>
        <w:tc>
          <w:tcPr>
            <w:tcW w:w="22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宋体" w:cs="宋体"/>
                <w:sz w:val="24"/>
                <w:szCs w:val="22"/>
              </w:rPr>
            </w:pPr>
            <w:r>
              <w:rPr>
                <w:rFonts w:hint="eastAsia" w:ascii="仿宋_GB2312" w:hAnsi="宋体" w:cs="宋体"/>
                <w:sz w:val="24"/>
                <w:szCs w:val="22"/>
              </w:rPr>
              <w:t>141.19</w:t>
            </w:r>
          </w:p>
        </w:tc>
      </w:tr>
      <w:tr>
        <w:tblPrEx>
          <w:tblCellMar>
            <w:top w:w="0" w:type="dxa"/>
            <w:left w:w="108" w:type="dxa"/>
            <w:bottom w:w="0" w:type="dxa"/>
            <w:right w:w="108" w:type="dxa"/>
          </w:tblCellMar>
        </w:tblPrEx>
        <w:trPr>
          <w:trHeight w:val="369" w:hRule="exact"/>
        </w:trPr>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宋体" w:cs="宋体"/>
                <w:sz w:val="24"/>
                <w:szCs w:val="22"/>
              </w:rPr>
            </w:pPr>
            <w:r>
              <w:rPr>
                <w:rFonts w:hint="eastAsia" w:ascii="仿宋_GB2312" w:hAnsi="宋体" w:cs="宋体"/>
                <w:sz w:val="24"/>
                <w:szCs w:val="22"/>
              </w:rPr>
              <w:t>3</w:t>
            </w:r>
          </w:p>
        </w:tc>
        <w:tc>
          <w:tcPr>
            <w:tcW w:w="5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仿宋_GB2312" w:hAnsi="宋体" w:cs="宋体"/>
                <w:sz w:val="24"/>
                <w:szCs w:val="22"/>
              </w:rPr>
            </w:pPr>
            <w:r>
              <w:rPr>
                <w:rFonts w:hint="eastAsia" w:ascii="仿宋_GB2312" w:hAnsi="宋体" w:cs="宋体"/>
                <w:sz w:val="24"/>
                <w:szCs w:val="22"/>
              </w:rPr>
              <w:t>平顶山市妇幼保健院</w:t>
            </w:r>
          </w:p>
        </w:tc>
        <w:tc>
          <w:tcPr>
            <w:tcW w:w="22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宋体" w:cs="宋体"/>
                <w:sz w:val="24"/>
                <w:szCs w:val="22"/>
              </w:rPr>
            </w:pPr>
            <w:r>
              <w:rPr>
                <w:rFonts w:hint="eastAsia" w:ascii="仿宋_GB2312" w:hAnsi="宋体" w:cs="宋体"/>
                <w:sz w:val="24"/>
                <w:szCs w:val="22"/>
              </w:rPr>
              <w:t>5.1</w:t>
            </w:r>
            <w:r>
              <w:rPr>
                <w:rFonts w:ascii="仿宋_GB2312" w:hAnsi="宋体" w:cs="宋体"/>
                <w:sz w:val="24"/>
                <w:szCs w:val="22"/>
              </w:rPr>
              <w:t>0</w:t>
            </w:r>
          </w:p>
        </w:tc>
      </w:tr>
      <w:tr>
        <w:tblPrEx>
          <w:tblCellMar>
            <w:top w:w="0" w:type="dxa"/>
            <w:left w:w="108" w:type="dxa"/>
            <w:bottom w:w="0" w:type="dxa"/>
            <w:right w:w="108" w:type="dxa"/>
          </w:tblCellMar>
        </w:tblPrEx>
        <w:trPr>
          <w:trHeight w:val="369" w:hRule="exact"/>
        </w:trPr>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宋体" w:cs="宋体"/>
                <w:sz w:val="24"/>
                <w:szCs w:val="22"/>
              </w:rPr>
            </w:pPr>
            <w:r>
              <w:rPr>
                <w:rFonts w:hint="eastAsia" w:ascii="仿宋_GB2312" w:hAnsi="宋体" w:cs="宋体"/>
                <w:sz w:val="24"/>
                <w:szCs w:val="22"/>
              </w:rPr>
              <w:t>4</w:t>
            </w:r>
          </w:p>
        </w:tc>
        <w:tc>
          <w:tcPr>
            <w:tcW w:w="5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仿宋_GB2312" w:hAnsi="宋体" w:cs="宋体"/>
                <w:sz w:val="24"/>
                <w:szCs w:val="22"/>
              </w:rPr>
            </w:pPr>
            <w:r>
              <w:rPr>
                <w:rFonts w:hint="eastAsia" w:ascii="仿宋_GB2312" w:hAnsi="宋体" w:cs="宋体"/>
                <w:sz w:val="24"/>
                <w:szCs w:val="22"/>
              </w:rPr>
              <w:t>平顶山市科贝商贸有限公司</w:t>
            </w:r>
          </w:p>
        </w:tc>
        <w:tc>
          <w:tcPr>
            <w:tcW w:w="22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宋体" w:cs="宋体"/>
                <w:sz w:val="24"/>
                <w:szCs w:val="22"/>
              </w:rPr>
            </w:pPr>
            <w:r>
              <w:rPr>
                <w:rFonts w:hint="eastAsia" w:ascii="仿宋_GB2312" w:hAnsi="宋体" w:cs="宋体"/>
                <w:sz w:val="24"/>
                <w:szCs w:val="22"/>
              </w:rPr>
              <w:t>2.49</w:t>
            </w:r>
          </w:p>
        </w:tc>
      </w:tr>
      <w:tr>
        <w:tblPrEx>
          <w:tblCellMar>
            <w:top w:w="0" w:type="dxa"/>
            <w:left w:w="108" w:type="dxa"/>
            <w:bottom w:w="0" w:type="dxa"/>
            <w:right w:w="108" w:type="dxa"/>
          </w:tblCellMar>
        </w:tblPrEx>
        <w:trPr>
          <w:trHeight w:val="369" w:hRule="exact"/>
        </w:trPr>
        <w:tc>
          <w:tcPr>
            <w:tcW w:w="654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80" w:firstLineChars="200"/>
              <w:jc w:val="center"/>
              <w:rPr>
                <w:rFonts w:ascii="仿宋_GB2312" w:hAnsi="宋体" w:cs="宋体"/>
                <w:sz w:val="24"/>
                <w:szCs w:val="22"/>
              </w:rPr>
            </w:pPr>
            <w:r>
              <w:rPr>
                <w:rFonts w:hint="eastAsia" w:ascii="仿宋_GB2312" w:hAnsi="宋体" w:cs="宋体"/>
                <w:sz w:val="24"/>
                <w:szCs w:val="22"/>
              </w:rPr>
              <w:t>合计</w:t>
            </w:r>
          </w:p>
        </w:tc>
        <w:tc>
          <w:tcPr>
            <w:tcW w:w="22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宋体" w:cs="宋体"/>
                <w:sz w:val="24"/>
                <w:szCs w:val="22"/>
              </w:rPr>
            </w:pPr>
            <w:r>
              <w:rPr>
                <w:rFonts w:hint="eastAsia" w:ascii="仿宋_GB2312" w:hAnsi="宋体" w:cs="宋体"/>
                <w:sz w:val="24"/>
                <w:szCs w:val="22"/>
              </w:rPr>
              <w:t>238.26</w:t>
            </w:r>
          </w:p>
        </w:tc>
      </w:tr>
    </w:tbl>
    <w:p>
      <w:pPr>
        <w:pStyle w:val="4"/>
        <w:spacing w:line="360" w:lineRule="auto"/>
        <w:rPr>
          <w:rFonts w:hAnsi="仿宋_GB2312" w:cs="仿宋_GB2312"/>
        </w:rPr>
      </w:pPr>
      <w:bookmarkStart w:id="28" w:name="_Toc154722948"/>
      <w:bookmarkStart w:id="29" w:name="_Toc154722887"/>
      <w:r>
        <w:rPr>
          <w:rFonts w:hint="eastAsia" w:hAnsi="仿宋_GB2312" w:cs="仿宋_GB2312"/>
        </w:rPr>
        <w:t>3.项目资金管理情况</w:t>
      </w:r>
      <w:bookmarkEnd w:id="28"/>
      <w:bookmarkEnd w:id="29"/>
    </w:p>
    <w:p>
      <w:pPr>
        <w:spacing w:line="560" w:lineRule="exact"/>
        <w:ind w:firstLine="640" w:firstLineChars="200"/>
        <w:rPr>
          <w:rFonts w:ascii="仿宋_GB2312" w:hAnsi="仿宋_GB2312" w:cs="仿宋_GB2312"/>
          <w:sz w:val="32"/>
          <w:szCs w:val="32"/>
        </w:rPr>
      </w:pPr>
      <w:r>
        <w:rPr>
          <w:rFonts w:hint="eastAsia" w:ascii="仿宋_GB2312" w:hAnsi="仿宋_GB2312" w:cs="仿宋_GB2312"/>
          <w:sz w:val="32"/>
          <w:szCs w:val="32"/>
        </w:rPr>
        <w:t>高新区财政局</w:t>
      </w:r>
      <w:r>
        <w:rPr>
          <w:rFonts w:hint="eastAsia" w:ascii="仿宋_GB2312" w:hAnsi="仿宋_GB2312" w:cs="仿宋_GB2312"/>
          <w:sz w:val="32"/>
          <w:szCs w:val="32"/>
          <w:lang w:eastAsia="zh-Hans"/>
        </w:rPr>
        <w:t>对区</w:t>
      </w:r>
      <w:r>
        <w:rPr>
          <w:rFonts w:hint="eastAsia" w:ascii="仿宋_GB2312" w:hAnsi="仿宋_GB2312" w:cs="仿宋_GB2312"/>
          <w:sz w:val="32"/>
          <w:szCs w:val="32"/>
        </w:rPr>
        <w:t>农业农村和社会事务局</w:t>
      </w:r>
      <w:r>
        <w:rPr>
          <w:rFonts w:hint="eastAsia" w:ascii="仿宋_GB2312" w:hAnsi="仿宋_GB2312" w:cs="仿宋_GB2312"/>
          <w:sz w:val="32"/>
          <w:szCs w:val="32"/>
          <w:lang w:eastAsia="zh-Hans"/>
        </w:rPr>
        <w:t>上报的项目资金预算进行审核、批复，根据</w:t>
      </w:r>
      <w:r>
        <w:rPr>
          <w:rFonts w:hint="eastAsia" w:ascii="仿宋_GB2312" w:hAnsi="仿宋_GB2312" w:cs="仿宋_GB2312"/>
          <w:sz w:val="32"/>
          <w:szCs w:val="32"/>
        </w:rPr>
        <w:t>其</w:t>
      </w:r>
      <w:r>
        <w:rPr>
          <w:rFonts w:hint="eastAsia" w:ascii="仿宋_GB2312" w:hAnsi="仿宋_GB2312" w:cs="仿宋_GB2312"/>
          <w:sz w:val="32"/>
          <w:szCs w:val="32"/>
          <w:lang w:eastAsia="zh-Hans"/>
        </w:rPr>
        <w:t>申请拨付资金</w:t>
      </w:r>
      <w:r>
        <w:rPr>
          <w:rFonts w:hint="eastAsia" w:ascii="仿宋_GB2312" w:hAnsi="仿宋_GB2312" w:cs="仿宋_GB2312"/>
          <w:sz w:val="32"/>
          <w:szCs w:val="32"/>
        </w:rPr>
        <w:t>，监督资金使用。高新区皇台社区卫生服务中心制定有《2022年基本公共卫生服务项目资金管理办法》、高新区遵化店镇卫生院制定有《基本公共卫生服务项目乡村两级任务分工安排》，明确了乡镇卫生院和村卫生室的任务分工及资金分配比例，项目资金管理到位。</w:t>
      </w:r>
    </w:p>
    <w:bookmarkEnd w:id="19"/>
    <w:p>
      <w:pPr>
        <w:pStyle w:val="3"/>
        <w:ind w:firstLine="640"/>
        <w:rPr>
          <w:rFonts w:eastAsia="楷体_GB2312" w:cs="仿宋_GB2312"/>
          <w:b w:val="0"/>
          <w:szCs w:val="32"/>
        </w:rPr>
      </w:pPr>
      <w:bookmarkStart w:id="30" w:name="_Toc154722949"/>
      <w:bookmarkStart w:id="31" w:name="_Toc154722888"/>
      <w:r>
        <w:rPr>
          <w:rFonts w:hint="eastAsia" w:eastAsia="楷体_GB2312" w:cs="仿宋_GB2312"/>
          <w:b w:val="0"/>
          <w:szCs w:val="32"/>
        </w:rPr>
        <w:t>（三）项目组织管理</w:t>
      </w:r>
      <w:bookmarkEnd w:id="30"/>
      <w:bookmarkEnd w:id="31"/>
    </w:p>
    <w:p>
      <w:pPr>
        <w:spacing w:line="560" w:lineRule="exact"/>
        <w:ind w:firstLine="640" w:firstLineChars="200"/>
      </w:pPr>
      <w:r>
        <w:rPr>
          <w:rFonts w:hint="eastAsia" w:ascii="仿宋_GB2312" w:hAnsi="仿宋_GB2312" w:cs="仿宋_GB2312"/>
          <w:sz w:val="32"/>
          <w:szCs w:val="32"/>
        </w:rPr>
        <w:t>高新区农业农村和社会事务局</w:t>
      </w:r>
      <w:r>
        <w:rPr>
          <w:rFonts w:hint="eastAsia" w:ascii="仿宋_GB2312" w:hAnsi="仿宋_GB2312" w:cs="仿宋_GB2312"/>
          <w:sz w:val="32"/>
          <w:szCs w:val="32"/>
          <w:lang w:eastAsia="zh-Hans"/>
        </w:rPr>
        <w:t>负责贯彻落实</w:t>
      </w:r>
      <w:r>
        <w:rPr>
          <w:rFonts w:hint="eastAsia" w:ascii="仿宋_GB2312" w:hAnsi="仿宋_GB2312" w:cs="仿宋_GB2312"/>
          <w:sz w:val="32"/>
          <w:szCs w:val="32"/>
        </w:rPr>
        <w:t>乡村振兴补助资金</w:t>
      </w:r>
      <w:r>
        <w:rPr>
          <w:rFonts w:hint="eastAsia" w:ascii="仿宋_GB2312" w:hAnsi="仿宋_GB2312" w:cs="仿宋_GB2312"/>
          <w:sz w:val="32"/>
          <w:szCs w:val="32"/>
          <w:lang w:eastAsia="zh-Hans"/>
        </w:rPr>
        <w:t>工作，</w:t>
      </w:r>
      <w:r>
        <w:rPr>
          <w:rFonts w:hint="eastAsia" w:ascii="仿宋_GB2312" w:hAnsi="仿宋_GB2312" w:cs="仿宋_GB2312"/>
          <w:sz w:val="32"/>
          <w:szCs w:val="32"/>
        </w:rPr>
        <w:t>向基本公共卫生服务单位</w:t>
      </w:r>
      <w:r>
        <w:rPr>
          <w:rFonts w:hint="eastAsia" w:ascii="仿宋_GB2312" w:hAnsi="仿宋_GB2312" w:cs="仿宋_GB2312"/>
          <w:sz w:val="32"/>
          <w:szCs w:val="32"/>
          <w:lang w:eastAsia="zh-Hans"/>
        </w:rPr>
        <w:t>下达</w:t>
      </w:r>
      <w:r>
        <w:rPr>
          <w:rFonts w:hint="eastAsia" w:ascii="仿宋_GB2312" w:hAnsi="仿宋_GB2312" w:cs="仿宋_GB2312"/>
          <w:sz w:val="32"/>
          <w:szCs w:val="32"/>
        </w:rPr>
        <w:t>工作</w:t>
      </w:r>
      <w:r>
        <w:rPr>
          <w:rFonts w:hint="eastAsia" w:ascii="仿宋_GB2312" w:hAnsi="仿宋_GB2312" w:cs="仿宋_GB2312"/>
          <w:sz w:val="32"/>
          <w:szCs w:val="32"/>
          <w:lang w:eastAsia="zh-Hans"/>
        </w:rPr>
        <w:t>任务、安排资金，具体工作指导与全过程监管。高新区皇台社区卫生服务中心制定了《2022年度基本公共卫生服务项目实施方案》，成立有领导小组，明确具体分工及责任人，为工作顺利实施提供制度保障；制定有《2022年基本公共卫生健康宣传工作计划》，对建立居民健康档案、预防接种、传染病防治、儿童、孕产妇及老年人保健等方面宣传做出明确安排和组织落实。遵化店镇卫生院等实施机构按照绩效评价要求实施项目自评，出具有2022年国家基本公共卫生服务项目自评报告，对发现的问题进行逐项整改。</w:t>
      </w:r>
    </w:p>
    <w:p>
      <w:pPr>
        <w:pStyle w:val="3"/>
        <w:ind w:firstLine="640"/>
        <w:rPr>
          <w:rFonts w:eastAsia="楷体_GB2312" w:cs="仿宋_GB2312"/>
          <w:b w:val="0"/>
          <w:szCs w:val="32"/>
        </w:rPr>
      </w:pPr>
      <w:bookmarkStart w:id="32" w:name="_Toc154722889"/>
      <w:bookmarkStart w:id="33" w:name="_Toc154722950"/>
      <w:bookmarkStart w:id="34" w:name="_Hlk154651778"/>
      <w:r>
        <w:rPr>
          <w:rFonts w:hint="eastAsia" w:eastAsia="楷体_GB2312" w:cs="仿宋_GB2312"/>
          <w:b w:val="0"/>
          <w:szCs w:val="32"/>
        </w:rPr>
        <w:t>（四）项目绩效目标</w:t>
      </w:r>
      <w:bookmarkEnd w:id="32"/>
      <w:bookmarkEnd w:id="33"/>
    </w:p>
    <w:bookmarkEnd w:id="34"/>
    <w:p>
      <w:pPr>
        <w:spacing w:line="560" w:lineRule="exact"/>
        <w:ind w:firstLine="640" w:firstLineChars="200"/>
        <w:rPr>
          <w:rFonts w:hint="eastAsia"/>
          <w:bCs/>
          <w:kern w:val="44"/>
          <w:sz w:val="32"/>
          <w:szCs w:val="32"/>
          <w:lang w:eastAsia="zh-CN"/>
        </w:rPr>
      </w:pPr>
      <w:r>
        <w:rPr>
          <w:rFonts w:hint="eastAsia" w:ascii="仿宋_GB2312" w:hAnsi="仿宋_GB2312" w:cs="仿宋_GB2312"/>
          <w:sz w:val="32"/>
          <w:szCs w:val="32"/>
        </w:rPr>
        <w:t>高新区农业农村和社会事务局</w:t>
      </w:r>
      <w:r>
        <w:rPr>
          <w:rFonts w:hint="eastAsia" w:ascii="仿宋_GB2312" w:hAnsi="仿宋_GB2312" w:cs="仿宋_GB2312"/>
          <w:sz w:val="32"/>
          <w:szCs w:val="32"/>
          <w:lang w:eastAsia="zh-Hans"/>
        </w:rPr>
        <w:t>提供的</w:t>
      </w:r>
      <w:r>
        <w:rPr>
          <w:rFonts w:hint="eastAsia" w:ascii="仿宋_GB2312" w:hAnsi="仿宋_GB2312" w:cs="仿宋_GB2312"/>
          <w:sz w:val="32"/>
          <w:szCs w:val="32"/>
        </w:rPr>
        <w:t>绩效目标设置不规范、不合理，</w:t>
      </w:r>
      <w:r>
        <w:rPr>
          <w:rFonts w:hint="eastAsia" w:ascii="仿宋_GB2312" w:hAnsi="仿宋_GB2312" w:cs="仿宋_GB2312"/>
          <w:sz w:val="32"/>
          <w:szCs w:val="32"/>
          <w:lang w:eastAsia="zh-Hans"/>
        </w:rPr>
        <w:t>评价小组结合项目的实际情况，</w:t>
      </w:r>
      <w:r>
        <w:rPr>
          <w:rFonts w:hint="eastAsia"/>
          <w:bCs/>
          <w:kern w:val="44"/>
          <w:sz w:val="32"/>
          <w:szCs w:val="32"/>
        </w:rPr>
        <w:t>对相关三级指标与指标值进行了调整</w:t>
      </w:r>
      <w:r>
        <w:rPr>
          <w:rFonts w:hint="eastAsia"/>
          <w:bCs/>
          <w:kern w:val="44"/>
          <w:sz w:val="32"/>
          <w:szCs w:val="32"/>
          <w:lang w:eastAsia="zh-CN"/>
        </w:rPr>
        <w:t>。</w:t>
      </w:r>
    </w:p>
    <w:p>
      <w:pPr>
        <w:spacing w:line="560" w:lineRule="exact"/>
        <w:ind w:firstLine="640" w:firstLineChars="200"/>
        <w:rPr>
          <w:rFonts w:hint="eastAsia"/>
          <w:bCs/>
          <w:kern w:val="44"/>
          <w:sz w:val="32"/>
          <w:szCs w:val="32"/>
          <w:lang w:eastAsia="zh-CN"/>
        </w:rPr>
      </w:pPr>
      <w:r>
        <w:rPr>
          <w:rFonts w:hint="eastAsia" w:ascii="仿宋_GB2312" w:hAnsi="仿宋_GB2312" w:cs="仿宋_GB2312"/>
          <w:sz w:val="32"/>
          <w:szCs w:val="32"/>
          <w:lang w:val="en-US" w:eastAsia="zh-CN"/>
        </w:rPr>
        <w:t>调整后的绩效目标为：</w:t>
      </w:r>
      <w:r>
        <w:rPr>
          <w:rFonts w:hint="eastAsia" w:ascii="仿宋_GB2312" w:hAnsi="仿宋_GB2312" w:cs="仿宋_GB2312"/>
          <w:sz w:val="32"/>
          <w:szCs w:val="32"/>
        </w:rPr>
        <w:t>免费向辖区居民提供基本公共卫生服务、开展重点疾病及危害因素监测，有效控制疾病流行，为制定相关政策提供科学依据，保持重点地方病防治措施全面落实，推进妇幼卫生、健康素养促进、医养结合和老年健康服务、卫生应急、计划生育等方面工作，促进居民健康水平的提升。</w:t>
      </w:r>
    </w:p>
    <w:p>
      <w:pPr>
        <w:pStyle w:val="2"/>
        <w:keepNext/>
        <w:keepLines/>
        <w:ind w:firstLine="640" w:firstLineChars="200"/>
        <w:contextualSpacing w:val="0"/>
        <w:rPr>
          <w:rFonts w:hAnsi="仿宋_GB2312" w:eastAsia="黑体"/>
          <w:b w:val="0"/>
          <w:kern w:val="44"/>
          <w:szCs w:val="32"/>
          <w:lang w:eastAsia="zh-Hans"/>
        </w:rPr>
      </w:pPr>
      <w:bookmarkStart w:id="35" w:name="_Toc154722891"/>
      <w:bookmarkStart w:id="36" w:name="_Toc154722952"/>
      <w:r>
        <w:rPr>
          <w:rFonts w:hint="eastAsia" w:hAnsi="仿宋_GB2312" w:eastAsia="黑体"/>
          <w:b w:val="0"/>
          <w:kern w:val="44"/>
          <w:szCs w:val="32"/>
          <w:lang w:eastAsia="zh-Hans"/>
        </w:rPr>
        <w:t>二、综合评价情况及评价结论</w:t>
      </w:r>
      <w:bookmarkEnd w:id="35"/>
      <w:bookmarkEnd w:id="36"/>
    </w:p>
    <w:p>
      <w:pPr>
        <w:pStyle w:val="3"/>
        <w:ind w:firstLine="640"/>
        <w:rPr>
          <w:rFonts w:eastAsia="楷体_GB2312" w:cs="仿宋_GB2312"/>
          <w:b w:val="0"/>
          <w:szCs w:val="32"/>
        </w:rPr>
      </w:pPr>
      <w:bookmarkStart w:id="37" w:name="_Toc154722892"/>
      <w:bookmarkStart w:id="38" w:name="_Toc154722953"/>
      <w:r>
        <w:rPr>
          <w:rFonts w:hint="eastAsia" w:eastAsia="楷体_GB2312" w:cs="仿宋_GB2312"/>
          <w:b w:val="0"/>
          <w:szCs w:val="32"/>
        </w:rPr>
        <w:t>（一）综合评价情况</w:t>
      </w:r>
      <w:bookmarkEnd w:id="37"/>
      <w:bookmarkEnd w:id="38"/>
    </w:p>
    <w:p>
      <w:pPr>
        <w:adjustRightInd w:val="0"/>
        <w:snapToGrid w:val="0"/>
        <w:spacing w:line="560" w:lineRule="exact"/>
        <w:ind w:firstLine="640" w:firstLineChars="200"/>
        <w:contextualSpacing/>
        <w:rPr>
          <w:rFonts w:ascii="仿宋_GB2312" w:hAnsi="宋体" w:cs="宋体"/>
          <w:sz w:val="32"/>
          <w:szCs w:val="28"/>
          <w:lang w:eastAsia="zh-Hans"/>
        </w:rPr>
      </w:pPr>
      <w:r>
        <w:rPr>
          <w:rFonts w:hint="eastAsia" w:ascii="仿宋_GB2312" w:hAnsi="宋体" w:cs="宋体"/>
          <w:sz w:val="32"/>
          <w:szCs w:val="28"/>
        </w:rPr>
        <w:t>项目单位</w:t>
      </w:r>
      <w:bookmarkStart w:id="39" w:name="_Hlk154670727"/>
      <w:bookmarkStart w:id="40" w:name="_Hlk154670825"/>
      <w:r>
        <w:rPr>
          <w:rFonts w:hint="eastAsia" w:ascii="仿宋_GB2312" w:hAnsi="宋体" w:cs="宋体"/>
          <w:sz w:val="32"/>
          <w:szCs w:val="28"/>
        </w:rPr>
        <w:t>公共卫生服务组织管理体系基本建立</w:t>
      </w:r>
      <w:bookmarkEnd w:id="39"/>
      <w:bookmarkEnd w:id="40"/>
      <w:r>
        <w:rPr>
          <w:rFonts w:hint="eastAsia" w:ascii="仿宋_GB2312" w:hAnsi="宋体" w:cs="宋体"/>
          <w:sz w:val="32"/>
          <w:szCs w:val="28"/>
        </w:rPr>
        <w:t>；</w:t>
      </w:r>
      <w:bookmarkStart w:id="41" w:name="_Hlk154670973"/>
      <w:r>
        <w:rPr>
          <w:rFonts w:hint="eastAsia" w:ascii="仿宋_GB2312" w:hAnsi="宋体" w:cs="宋体"/>
          <w:sz w:val="32"/>
          <w:szCs w:val="28"/>
        </w:rPr>
        <w:t>专项资金管理比较规范；</w:t>
      </w:r>
      <w:bookmarkEnd w:id="41"/>
      <w:bookmarkStart w:id="42" w:name="_Hlk154671599"/>
      <w:bookmarkStart w:id="43" w:name="_Hlk154671483"/>
      <w:r>
        <w:rPr>
          <w:rFonts w:hint="eastAsia" w:ascii="仿宋_GB2312" w:hAnsi="宋体" w:cs="宋体"/>
          <w:sz w:val="32"/>
          <w:szCs w:val="28"/>
        </w:rPr>
        <w:t>各项管理服务基本达到</w:t>
      </w:r>
      <w:bookmarkStart w:id="44" w:name="_Hlk154671515"/>
      <w:r>
        <w:rPr>
          <w:rFonts w:hint="eastAsia" w:ascii="仿宋_GB2312" w:hAnsi="宋体" w:cs="宋体"/>
          <w:sz w:val="32"/>
          <w:szCs w:val="28"/>
        </w:rPr>
        <w:t>年初设定的绩效目标</w:t>
      </w:r>
      <w:bookmarkEnd w:id="42"/>
      <w:bookmarkEnd w:id="44"/>
      <w:r>
        <w:rPr>
          <w:rFonts w:hint="eastAsia" w:ascii="仿宋_GB2312" w:hAnsi="宋体" w:cs="宋体"/>
          <w:sz w:val="32"/>
          <w:szCs w:val="28"/>
        </w:rPr>
        <w:t>，城乡居民公共卫生差距逐步缩小，基本公共卫生服务水平不断提高</w:t>
      </w:r>
      <w:bookmarkEnd w:id="43"/>
      <w:r>
        <w:rPr>
          <w:rFonts w:hint="eastAsia" w:ascii="仿宋_GB2312" w:hAnsi="宋体" w:cs="宋体"/>
          <w:sz w:val="32"/>
          <w:szCs w:val="28"/>
        </w:rPr>
        <w:t>。但仍存</w:t>
      </w:r>
      <w:r>
        <w:rPr>
          <w:rFonts w:hint="eastAsia" w:ascii="仿宋_GB2312" w:hAnsi="宋体" w:cs="宋体"/>
          <w:sz w:val="32"/>
          <w:szCs w:val="28"/>
          <w:lang w:val="en-US" w:eastAsia="zh-CN"/>
        </w:rPr>
        <w:t>在</w:t>
      </w:r>
      <w:r>
        <w:rPr>
          <w:rFonts w:hint="eastAsia" w:ascii="仿宋_GB2312" w:hAnsi="宋体" w:cs="宋体"/>
          <w:sz w:val="32"/>
          <w:szCs w:val="28"/>
        </w:rPr>
        <w:t>下列问题：未及时足额下拨公共卫生资金、绩效考核资料不完善、缺佐证材料不充分、高血压患者管理率低、控制率低，糖尿病患者规范管理率较低、控制率低，肺结核病患者规则服药率低，居民知晓率和满意度偏低等问题。</w:t>
      </w:r>
    </w:p>
    <w:p>
      <w:pPr>
        <w:pStyle w:val="3"/>
        <w:ind w:firstLine="640"/>
        <w:rPr>
          <w:rFonts w:eastAsia="楷体_GB2312" w:cs="仿宋_GB2312"/>
          <w:b w:val="0"/>
          <w:szCs w:val="32"/>
        </w:rPr>
      </w:pPr>
      <w:bookmarkStart w:id="45" w:name="_Toc154722893"/>
      <w:bookmarkStart w:id="46" w:name="_Toc154722954"/>
      <w:r>
        <w:rPr>
          <w:rFonts w:hint="eastAsia" w:eastAsia="楷体_GB2312" w:cs="仿宋_GB2312"/>
          <w:b w:val="0"/>
          <w:szCs w:val="32"/>
        </w:rPr>
        <w:t>（二）评价结论</w:t>
      </w:r>
      <w:bookmarkEnd w:id="45"/>
      <w:bookmarkEnd w:id="46"/>
    </w:p>
    <w:p>
      <w:pPr>
        <w:adjustRightInd w:val="0"/>
        <w:snapToGrid w:val="0"/>
        <w:spacing w:line="560" w:lineRule="exact"/>
        <w:ind w:firstLine="640" w:firstLineChars="200"/>
        <w:contextualSpacing/>
        <w:rPr>
          <w:rFonts w:ascii="仿宋_GB2312" w:hAnsi="宋体" w:cs="宋体"/>
          <w:sz w:val="32"/>
          <w:szCs w:val="28"/>
          <w:highlight w:val="none"/>
        </w:rPr>
      </w:pPr>
      <w:bookmarkStart w:id="47" w:name="_Hlk144887009"/>
      <w:bookmarkStart w:id="48" w:name="_Hlk144886477"/>
      <w:r>
        <w:rPr>
          <w:rFonts w:hint="eastAsia" w:ascii="仿宋_GB2312" w:hAnsi="宋体" w:cs="宋体"/>
          <w:sz w:val="32"/>
          <w:szCs w:val="28"/>
        </w:rPr>
        <w:t>评价小组按照《高新区国家基本公共卫生服务项目综合评价指标体系表(2023年版)》设定的绩效评价指标体系，经过实地调查、数据分析，项目评价综合得</w:t>
      </w:r>
      <w:r>
        <w:rPr>
          <w:rFonts w:hint="eastAsia" w:ascii="仿宋_GB2312" w:hAnsi="宋体" w:cs="宋体"/>
          <w:sz w:val="32"/>
          <w:szCs w:val="28"/>
          <w:highlight w:val="none"/>
        </w:rPr>
        <w:t>分64.4</w:t>
      </w:r>
      <w:r>
        <w:rPr>
          <w:rFonts w:ascii="仿宋_GB2312" w:hAnsi="宋体" w:cs="宋体"/>
          <w:sz w:val="32"/>
          <w:szCs w:val="28"/>
          <w:highlight w:val="none"/>
        </w:rPr>
        <w:t>9</w:t>
      </w:r>
      <w:r>
        <w:rPr>
          <w:rFonts w:hint="eastAsia" w:ascii="仿宋_GB2312" w:hAnsi="宋体" w:cs="宋体"/>
          <w:sz w:val="32"/>
          <w:szCs w:val="28"/>
          <w:highlight w:val="none"/>
        </w:rPr>
        <w:t>分，依据平财效〔2021〕5号文中绩效评价等级划分标准，该项目绩效评价等级为“中”</w:t>
      </w:r>
      <w:bookmarkEnd w:id="47"/>
      <w:bookmarkEnd w:id="48"/>
      <w:r>
        <w:rPr>
          <w:rFonts w:hint="eastAsia" w:ascii="仿宋_GB2312" w:hAnsi="宋体" w:cs="宋体"/>
          <w:sz w:val="32"/>
          <w:szCs w:val="28"/>
          <w:highlight w:val="none"/>
        </w:rPr>
        <w:t>，各指标得分情况详见表3。</w:t>
      </w:r>
    </w:p>
    <w:p>
      <w:pPr>
        <w:shd w:val="clear" w:color="auto" w:fill="FFFFFF"/>
        <w:spacing w:line="240" w:lineRule="atLeast"/>
        <w:jc w:val="center"/>
        <w:rPr>
          <w:rFonts w:ascii="仿宋_GB2312" w:hAnsi="宋体" w:cs="宋体"/>
          <w:b/>
          <w:bCs/>
          <w:kern w:val="0"/>
          <w:sz w:val="28"/>
          <w:szCs w:val="28"/>
          <w:highlight w:val="none"/>
        </w:rPr>
      </w:pPr>
      <w:r>
        <w:rPr>
          <w:rFonts w:hint="eastAsia" w:ascii="仿宋_GB2312" w:hAnsi="宋体" w:cs="宋体"/>
          <w:b/>
          <w:bCs/>
          <w:kern w:val="0"/>
          <w:sz w:val="28"/>
          <w:szCs w:val="28"/>
          <w:highlight w:val="none"/>
        </w:rPr>
        <w:t>表3.绩效评价得分情况</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59"/>
        <w:gridCol w:w="1460"/>
        <w:gridCol w:w="1459"/>
        <w:gridCol w:w="1459"/>
        <w:gridCol w:w="1460"/>
        <w:gridCol w:w="14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0" w:hRule="atLeast"/>
          <w:jc w:val="center"/>
        </w:trPr>
        <w:tc>
          <w:tcPr>
            <w:tcW w:w="1459" w:type="dxa"/>
            <w:tcBorders>
              <w:tl2br w:val="single" w:color="auto" w:sz="4" w:space="0"/>
            </w:tcBorders>
          </w:tcPr>
          <w:p>
            <w:pPr>
              <w:spacing w:line="540" w:lineRule="exact"/>
              <w:jc w:val="center"/>
              <w:rPr>
                <w:rFonts w:ascii="仿宋_GB2312" w:hAnsi="仿宋_GB2312" w:cs="仿宋_GB2312"/>
                <w:b/>
                <w:sz w:val="28"/>
                <w:szCs w:val="28"/>
                <w:highlight w:val="none"/>
              </w:rPr>
            </w:pPr>
            <w:r>
              <w:rPr>
                <w:rFonts w:hint="eastAsia" w:ascii="仿宋_GB2312" w:hAnsi="仿宋_GB2312" w:cs="仿宋_GB2312"/>
                <w:b/>
                <w:sz w:val="28"/>
                <w:szCs w:val="28"/>
                <w:highlight w:val="none"/>
              </w:rPr>
              <w:t xml:space="preserve">   指标</w:t>
            </w:r>
          </w:p>
          <w:p>
            <w:pPr>
              <w:spacing w:line="540" w:lineRule="exact"/>
              <w:rPr>
                <w:rFonts w:ascii="仿宋_GB2312" w:hAnsi="仿宋_GB2312" w:cs="仿宋_GB2312"/>
                <w:b/>
                <w:sz w:val="28"/>
                <w:szCs w:val="28"/>
                <w:highlight w:val="none"/>
              </w:rPr>
            </w:pPr>
            <w:r>
              <w:rPr>
                <w:rFonts w:hint="eastAsia" w:ascii="仿宋_GB2312" w:hAnsi="仿宋_GB2312" w:cs="仿宋_GB2312"/>
                <w:b/>
                <w:sz w:val="28"/>
                <w:szCs w:val="28"/>
                <w:highlight w:val="none"/>
              </w:rPr>
              <w:t>分值</w:t>
            </w:r>
          </w:p>
        </w:tc>
        <w:tc>
          <w:tcPr>
            <w:tcW w:w="1460" w:type="dxa"/>
            <w:tcBorders>
              <w:bottom w:val="single" w:color="auto" w:sz="4" w:space="0"/>
            </w:tcBorders>
            <w:vAlign w:val="center"/>
          </w:tcPr>
          <w:p>
            <w:pPr>
              <w:spacing w:line="540" w:lineRule="exact"/>
              <w:jc w:val="center"/>
              <w:rPr>
                <w:rFonts w:ascii="仿宋_GB2312" w:hAnsi="仿宋_GB2312" w:cs="仿宋_GB2312"/>
                <w:b/>
                <w:sz w:val="28"/>
                <w:szCs w:val="28"/>
                <w:highlight w:val="none"/>
              </w:rPr>
            </w:pPr>
            <w:r>
              <w:rPr>
                <w:rFonts w:hint="eastAsia" w:ascii="仿宋_GB2312" w:hAnsi="仿宋_GB2312" w:cs="仿宋_GB2312"/>
                <w:b/>
                <w:sz w:val="28"/>
                <w:szCs w:val="28"/>
                <w:highlight w:val="none"/>
              </w:rPr>
              <w:t>组织管理</w:t>
            </w:r>
          </w:p>
        </w:tc>
        <w:tc>
          <w:tcPr>
            <w:tcW w:w="1459" w:type="dxa"/>
            <w:tcBorders>
              <w:bottom w:val="single" w:color="auto" w:sz="4" w:space="0"/>
            </w:tcBorders>
            <w:vAlign w:val="center"/>
          </w:tcPr>
          <w:p>
            <w:pPr>
              <w:spacing w:line="540" w:lineRule="exact"/>
              <w:jc w:val="center"/>
              <w:rPr>
                <w:rFonts w:ascii="仿宋_GB2312" w:hAnsi="仿宋_GB2312" w:cs="仿宋_GB2312"/>
                <w:b/>
                <w:sz w:val="28"/>
                <w:szCs w:val="28"/>
                <w:highlight w:val="none"/>
              </w:rPr>
            </w:pPr>
            <w:r>
              <w:rPr>
                <w:rFonts w:hint="eastAsia" w:ascii="仿宋_GB2312" w:hAnsi="仿宋_GB2312" w:cs="仿宋_GB2312"/>
                <w:b/>
                <w:sz w:val="28"/>
                <w:szCs w:val="28"/>
                <w:highlight w:val="none"/>
              </w:rPr>
              <w:t>资金管理</w:t>
            </w:r>
          </w:p>
        </w:tc>
        <w:tc>
          <w:tcPr>
            <w:tcW w:w="1459" w:type="dxa"/>
            <w:tcBorders>
              <w:bottom w:val="single" w:color="auto" w:sz="4" w:space="0"/>
            </w:tcBorders>
            <w:vAlign w:val="center"/>
          </w:tcPr>
          <w:p>
            <w:pPr>
              <w:spacing w:line="540" w:lineRule="exact"/>
              <w:jc w:val="center"/>
              <w:rPr>
                <w:rFonts w:ascii="仿宋_GB2312" w:hAnsi="仿宋_GB2312" w:cs="仿宋_GB2312"/>
                <w:b/>
                <w:sz w:val="28"/>
                <w:szCs w:val="28"/>
                <w:highlight w:val="none"/>
              </w:rPr>
            </w:pPr>
            <w:r>
              <w:rPr>
                <w:rFonts w:hint="eastAsia" w:ascii="仿宋_GB2312" w:hAnsi="仿宋_GB2312" w:cs="仿宋_GB2312"/>
                <w:b/>
                <w:sz w:val="28"/>
                <w:szCs w:val="28"/>
                <w:highlight w:val="none"/>
              </w:rPr>
              <w:t>项目执行</w:t>
            </w:r>
          </w:p>
        </w:tc>
        <w:tc>
          <w:tcPr>
            <w:tcW w:w="1460" w:type="dxa"/>
            <w:tcBorders>
              <w:bottom w:val="single" w:color="auto" w:sz="4" w:space="0"/>
            </w:tcBorders>
            <w:vAlign w:val="center"/>
          </w:tcPr>
          <w:p>
            <w:pPr>
              <w:spacing w:line="540" w:lineRule="exact"/>
              <w:jc w:val="center"/>
              <w:rPr>
                <w:rFonts w:ascii="仿宋_GB2312" w:hAnsi="仿宋_GB2312" w:cs="仿宋_GB2312"/>
                <w:b/>
                <w:sz w:val="28"/>
                <w:szCs w:val="28"/>
                <w:highlight w:val="none"/>
              </w:rPr>
            </w:pPr>
            <w:r>
              <w:rPr>
                <w:rFonts w:hint="eastAsia" w:ascii="仿宋_GB2312" w:hAnsi="仿宋_GB2312" w:cs="仿宋_GB2312"/>
                <w:b/>
                <w:sz w:val="28"/>
                <w:szCs w:val="28"/>
                <w:highlight w:val="none"/>
              </w:rPr>
              <w:t>项目效果</w:t>
            </w:r>
          </w:p>
        </w:tc>
        <w:tc>
          <w:tcPr>
            <w:tcW w:w="1461" w:type="dxa"/>
            <w:tcBorders>
              <w:bottom w:val="single" w:color="auto" w:sz="4" w:space="0"/>
            </w:tcBorders>
            <w:vAlign w:val="center"/>
          </w:tcPr>
          <w:p>
            <w:pPr>
              <w:spacing w:line="540" w:lineRule="exact"/>
              <w:jc w:val="center"/>
              <w:rPr>
                <w:rFonts w:ascii="仿宋_GB2312" w:hAnsi="仿宋_GB2312" w:cs="仿宋_GB2312"/>
                <w:b/>
                <w:sz w:val="28"/>
                <w:szCs w:val="28"/>
                <w:highlight w:val="none"/>
              </w:rPr>
            </w:pPr>
            <w:r>
              <w:rPr>
                <w:rFonts w:hint="eastAsia" w:ascii="仿宋_GB2312" w:hAnsi="仿宋_GB2312" w:cs="仿宋_GB2312"/>
                <w:b/>
                <w:sz w:val="28"/>
                <w:szCs w:val="28"/>
                <w:highlight w:val="none"/>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1459" w:type="dxa"/>
          </w:tcPr>
          <w:p>
            <w:pPr>
              <w:jc w:val="center"/>
              <w:rPr>
                <w:rFonts w:ascii="仿宋_GB2312" w:hAnsi="仿宋_GB2312" w:cs="仿宋_GB2312"/>
                <w:sz w:val="28"/>
                <w:szCs w:val="28"/>
                <w:highlight w:val="none"/>
              </w:rPr>
            </w:pPr>
            <w:r>
              <w:rPr>
                <w:rFonts w:hint="eastAsia" w:ascii="仿宋_GB2312" w:hAnsi="仿宋_GB2312" w:cs="仿宋_GB2312"/>
                <w:sz w:val="28"/>
                <w:szCs w:val="28"/>
                <w:highlight w:val="none"/>
              </w:rPr>
              <w:t>标准分值</w:t>
            </w:r>
          </w:p>
        </w:tc>
        <w:tc>
          <w:tcPr>
            <w:tcW w:w="1460" w:type="dxa"/>
            <w:tcBorders>
              <w:top w:val="single" w:color="auto" w:sz="4" w:space="0"/>
            </w:tcBorders>
          </w:tcPr>
          <w:p>
            <w:pPr>
              <w:jc w:val="center"/>
              <w:rPr>
                <w:rFonts w:ascii="仿宋_GB2312" w:hAnsi="仿宋_GB2312" w:cs="仿宋_GB2312"/>
                <w:sz w:val="28"/>
                <w:szCs w:val="28"/>
                <w:highlight w:val="none"/>
              </w:rPr>
            </w:pPr>
            <w:r>
              <w:rPr>
                <w:rFonts w:hint="eastAsia" w:ascii="仿宋_GB2312" w:hAnsi="仿宋_GB2312" w:cs="仿宋_GB2312"/>
                <w:sz w:val="28"/>
                <w:szCs w:val="28"/>
                <w:highlight w:val="none"/>
              </w:rPr>
              <w:t>13</w:t>
            </w:r>
          </w:p>
        </w:tc>
        <w:tc>
          <w:tcPr>
            <w:tcW w:w="1459" w:type="dxa"/>
            <w:tcBorders>
              <w:top w:val="single" w:color="auto" w:sz="4" w:space="0"/>
            </w:tcBorders>
          </w:tcPr>
          <w:p>
            <w:pPr>
              <w:jc w:val="center"/>
              <w:rPr>
                <w:rFonts w:ascii="仿宋_GB2312" w:hAnsi="仿宋_GB2312" w:cs="仿宋_GB2312"/>
                <w:sz w:val="28"/>
                <w:szCs w:val="28"/>
                <w:highlight w:val="none"/>
              </w:rPr>
            </w:pPr>
            <w:r>
              <w:rPr>
                <w:rFonts w:hint="eastAsia" w:ascii="仿宋_GB2312" w:hAnsi="仿宋_GB2312" w:cs="仿宋_GB2312"/>
                <w:sz w:val="28"/>
                <w:szCs w:val="28"/>
                <w:highlight w:val="none"/>
              </w:rPr>
              <w:t>9</w:t>
            </w:r>
          </w:p>
        </w:tc>
        <w:tc>
          <w:tcPr>
            <w:tcW w:w="1459" w:type="dxa"/>
            <w:tcBorders>
              <w:top w:val="single" w:color="auto" w:sz="4" w:space="0"/>
            </w:tcBorders>
          </w:tcPr>
          <w:p>
            <w:pPr>
              <w:jc w:val="center"/>
              <w:rPr>
                <w:rFonts w:ascii="仿宋_GB2312" w:hAnsi="仿宋_GB2312" w:cs="仿宋_GB2312"/>
                <w:sz w:val="28"/>
                <w:szCs w:val="28"/>
                <w:highlight w:val="none"/>
              </w:rPr>
            </w:pPr>
            <w:r>
              <w:rPr>
                <w:rFonts w:hint="eastAsia" w:ascii="仿宋_GB2312" w:hAnsi="仿宋_GB2312" w:cs="仿宋_GB2312"/>
                <w:sz w:val="28"/>
                <w:szCs w:val="28"/>
                <w:highlight w:val="none"/>
              </w:rPr>
              <w:t>58</w:t>
            </w:r>
          </w:p>
        </w:tc>
        <w:tc>
          <w:tcPr>
            <w:tcW w:w="1460" w:type="dxa"/>
            <w:tcBorders>
              <w:top w:val="single" w:color="auto" w:sz="4" w:space="0"/>
            </w:tcBorders>
          </w:tcPr>
          <w:p>
            <w:pPr>
              <w:jc w:val="center"/>
              <w:rPr>
                <w:rFonts w:ascii="仿宋_GB2312" w:hAnsi="仿宋_GB2312" w:cs="仿宋_GB2312"/>
                <w:sz w:val="28"/>
                <w:szCs w:val="28"/>
                <w:highlight w:val="none"/>
              </w:rPr>
            </w:pPr>
            <w:r>
              <w:rPr>
                <w:rFonts w:hint="eastAsia" w:ascii="仿宋_GB2312" w:hAnsi="仿宋_GB2312" w:cs="仿宋_GB2312"/>
                <w:sz w:val="28"/>
                <w:szCs w:val="28"/>
                <w:highlight w:val="none"/>
              </w:rPr>
              <w:t>20</w:t>
            </w:r>
          </w:p>
        </w:tc>
        <w:tc>
          <w:tcPr>
            <w:tcW w:w="1461" w:type="dxa"/>
            <w:tcBorders>
              <w:top w:val="single" w:color="auto" w:sz="4" w:space="0"/>
            </w:tcBorders>
          </w:tcPr>
          <w:p>
            <w:pPr>
              <w:jc w:val="center"/>
              <w:rPr>
                <w:rFonts w:ascii="仿宋_GB2312" w:hAnsi="仿宋_GB2312" w:cs="仿宋_GB2312"/>
                <w:sz w:val="28"/>
                <w:szCs w:val="28"/>
                <w:highlight w:val="none"/>
              </w:rPr>
            </w:pPr>
            <w:r>
              <w:rPr>
                <w:rFonts w:hint="eastAsia" w:ascii="仿宋_GB2312" w:hAnsi="仿宋_GB2312" w:cs="仿宋_GB2312"/>
                <w:sz w:val="28"/>
                <w:szCs w:val="28"/>
                <w:highlight w:val="none"/>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1459" w:type="dxa"/>
          </w:tcPr>
          <w:p>
            <w:pPr>
              <w:jc w:val="center"/>
              <w:rPr>
                <w:rFonts w:ascii="仿宋_GB2312" w:hAnsi="仿宋_GB2312" w:cs="仿宋_GB2312"/>
                <w:sz w:val="28"/>
                <w:szCs w:val="28"/>
                <w:highlight w:val="none"/>
              </w:rPr>
            </w:pPr>
            <w:r>
              <w:rPr>
                <w:rFonts w:hint="eastAsia" w:ascii="仿宋_GB2312" w:hAnsi="仿宋_GB2312" w:cs="仿宋_GB2312"/>
                <w:sz w:val="28"/>
                <w:szCs w:val="28"/>
                <w:highlight w:val="none"/>
              </w:rPr>
              <w:t>评价得分</w:t>
            </w:r>
          </w:p>
        </w:tc>
        <w:tc>
          <w:tcPr>
            <w:tcW w:w="1460" w:type="dxa"/>
          </w:tcPr>
          <w:p>
            <w:pPr>
              <w:jc w:val="center"/>
              <w:rPr>
                <w:rFonts w:ascii="仿宋_GB2312" w:hAnsi="仿宋_GB2312" w:cs="仿宋_GB2312"/>
                <w:sz w:val="28"/>
                <w:szCs w:val="28"/>
                <w:highlight w:val="none"/>
              </w:rPr>
            </w:pPr>
            <w:r>
              <w:rPr>
                <w:rFonts w:hint="eastAsia" w:ascii="仿宋_GB2312" w:hAnsi="仿宋_GB2312" w:cs="仿宋_GB2312"/>
                <w:sz w:val="28"/>
                <w:szCs w:val="28"/>
                <w:highlight w:val="none"/>
              </w:rPr>
              <w:t>9.3</w:t>
            </w:r>
          </w:p>
        </w:tc>
        <w:tc>
          <w:tcPr>
            <w:tcW w:w="1459" w:type="dxa"/>
          </w:tcPr>
          <w:p>
            <w:pPr>
              <w:jc w:val="center"/>
              <w:rPr>
                <w:rFonts w:ascii="仿宋_GB2312" w:hAnsi="仿宋_GB2312" w:cs="仿宋_GB2312"/>
                <w:sz w:val="28"/>
                <w:szCs w:val="28"/>
                <w:highlight w:val="none"/>
              </w:rPr>
            </w:pPr>
            <w:r>
              <w:rPr>
                <w:rFonts w:hint="eastAsia" w:ascii="仿宋_GB2312" w:hAnsi="仿宋_GB2312" w:cs="仿宋_GB2312"/>
                <w:sz w:val="28"/>
                <w:szCs w:val="28"/>
                <w:highlight w:val="none"/>
              </w:rPr>
              <w:t>9</w:t>
            </w:r>
          </w:p>
        </w:tc>
        <w:tc>
          <w:tcPr>
            <w:tcW w:w="1459" w:type="dxa"/>
          </w:tcPr>
          <w:p>
            <w:pPr>
              <w:jc w:val="center"/>
              <w:rPr>
                <w:rFonts w:ascii="仿宋_GB2312" w:hAnsi="仿宋_GB2312" w:cs="仿宋_GB2312"/>
                <w:sz w:val="28"/>
                <w:szCs w:val="28"/>
                <w:highlight w:val="none"/>
              </w:rPr>
            </w:pPr>
            <w:r>
              <w:rPr>
                <w:rFonts w:hint="eastAsia" w:ascii="仿宋_GB2312" w:hAnsi="仿宋_GB2312" w:cs="仿宋_GB2312"/>
                <w:sz w:val="28"/>
                <w:szCs w:val="28"/>
                <w:highlight w:val="none"/>
              </w:rPr>
              <w:t>35.42</w:t>
            </w:r>
          </w:p>
        </w:tc>
        <w:tc>
          <w:tcPr>
            <w:tcW w:w="1460" w:type="dxa"/>
          </w:tcPr>
          <w:p>
            <w:pPr>
              <w:jc w:val="center"/>
              <w:rPr>
                <w:rFonts w:ascii="仿宋_GB2312" w:hAnsi="仿宋_GB2312" w:cs="仿宋_GB2312"/>
                <w:sz w:val="28"/>
                <w:szCs w:val="28"/>
                <w:highlight w:val="none"/>
              </w:rPr>
            </w:pPr>
            <w:r>
              <w:rPr>
                <w:rFonts w:hint="eastAsia" w:ascii="仿宋_GB2312" w:hAnsi="仿宋_GB2312" w:cs="仿宋_GB2312"/>
                <w:sz w:val="28"/>
                <w:szCs w:val="28"/>
                <w:highlight w:val="none"/>
              </w:rPr>
              <w:t>10.7</w:t>
            </w:r>
            <w:r>
              <w:rPr>
                <w:rFonts w:ascii="仿宋_GB2312" w:hAnsi="仿宋_GB2312" w:cs="仿宋_GB2312"/>
                <w:sz w:val="28"/>
                <w:szCs w:val="28"/>
                <w:highlight w:val="none"/>
              </w:rPr>
              <w:t>7</w:t>
            </w:r>
          </w:p>
        </w:tc>
        <w:tc>
          <w:tcPr>
            <w:tcW w:w="1461" w:type="dxa"/>
          </w:tcPr>
          <w:p>
            <w:pPr>
              <w:jc w:val="center"/>
              <w:rPr>
                <w:rFonts w:ascii="仿宋_GB2312" w:hAnsi="仿宋_GB2312" w:cs="仿宋_GB2312"/>
                <w:sz w:val="28"/>
                <w:szCs w:val="28"/>
                <w:highlight w:val="none"/>
              </w:rPr>
            </w:pPr>
            <w:r>
              <w:rPr>
                <w:rFonts w:hint="eastAsia" w:ascii="仿宋_GB2312" w:hAnsi="仿宋_GB2312" w:cs="仿宋_GB2312"/>
                <w:sz w:val="28"/>
                <w:szCs w:val="28"/>
                <w:highlight w:val="none"/>
              </w:rPr>
              <w:t>64.4</w:t>
            </w:r>
            <w:r>
              <w:rPr>
                <w:rFonts w:ascii="仿宋_GB2312" w:hAnsi="仿宋_GB2312" w:cs="仿宋_GB2312"/>
                <w:sz w:val="28"/>
                <w:szCs w:val="28"/>
                <w:highlight w:val="none"/>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1459" w:type="dxa"/>
          </w:tcPr>
          <w:p>
            <w:pPr>
              <w:jc w:val="center"/>
              <w:rPr>
                <w:rFonts w:ascii="仿宋_GB2312" w:hAnsi="仿宋_GB2312" w:cs="仿宋_GB2312"/>
                <w:sz w:val="28"/>
                <w:szCs w:val="28"/>
                <w:highlight w:val="none"/>
              </w:rPr>
            </w:pPr>
            <w:r>
              <w:rPr>
                <w:rFonts w:hint="eastAsia" w:ascii="仿宋_GB2312" w:hAnsi="仿宋_GB2312" w:cs="仿宋_GB2312"/>
                <w:sz w:val="28"/>
                <w:szCs w:val="28"/>
                <w:highlight w:val="none"/>
              </w:rPr>
              <w:t>得分率</w:t>
            </w:r>
          </w:p>
        </w:tc>
        <w:tc>
          <w:tcPr>
            <w:tcW w:w="1460" w:type="dxa"/>
          </w:tcPr>
          <w:p>
            <w:pPr>
              <w:jc w:val="center"/>
              <w:rPr>
                <w:rFonts w:ascii="仿宋_GB2312" w:hAnsi="仿宋_GB2312" w:cs="仿宋_GB2312"/>
                <w:sz w:val="28"/>
                <w:szCs w:val="28"/>
                <w:highlight w:val="none"/>
              </w:rPr>
            </w:pPr>
            <w:r>
              <w:rPr>
                <w:rFonts w:hint="eastAsia" w:ascii="仿宋_GB2312" w:hAnsi="仿宋_GB2312" w:cs="仿宋_GB2312"/>
                <w:sz w:val="28"/>
                <w:szCs w:val="28"/>
                <w:highlight w:val="none"/>
              </w:rPr>
              <w:t>71.54%</w:t>
            </w:r>
          </w:p>
        </w:tc>
        <w:tc>
          <w:tcPr>
            <w:tcW w:w="1459" w:type="dxa"/>
          </w:tcPr>
          <w:p>
            <w:pPr>
              <w:jc w:val="center"/>
              <w:rPr>
                <w:rFonts w:ascii="仿宋_GB2312" w:hAnsi="仿宋_GB2312" w:cs="仿宋_GB2312"/>
                <w:sz w:val="28"/>
                <w:szCs w:val="28"/>
                <w:highlight w:val="none"/>
              </w:rPr>
            </w:pPr>
            <w:r>
              <w:rPr>
                <w:rFonts w:hint="eastAsia" w:ascii="仿宋_GB2312" w:hAnsi="仿宋_GB2312" w:cs="仿宋_GB2312"/>
                <w:sz w:val="28"/>
                <w:szCs w:val="28"/>
                <w:highlight w:val="none"/>
              </w:rPr>
              <w:t>100.00%</w:t>
            </w:r>
          </w:p>
        </w:tc>
        <w:tc>
          <w:tcPr>
            <w:tcW w:w="1459" w:type="dxa"/>
          </w:tcPr>
          <w:p>
            <w:pPr>
              <w:jc w:val="center"/>
              <w:rPr>
                <w:rFonts w:ascii="仿宋_GB2312" w:hAnsi="仿宋_GB2312" w:cs="仿宋_GB2312"/>
                <w:sz w:val="28"/>
                <w:szCs w:val="28"/>
                <w:highlight w:val="none"/>
              </w:rPr>
            </w:pPr>
            <w:r>
              <w:rPr>
                <w:rFonts w:hint="eastAsia" w:ascii="仿宋_GB2312" w:hAnsi="仿宋_GB2312" w:cs="仿宋_GB2312"/>
                <w:sz w:val="28"/>
                <w:szCs w:val="28"/>
                <w:highlight w:val="none"/>
              </w:rPr>
              <w:t>61.07%</w:t>
            </w:r>
          </w:p>
        </w:tc>
        <w:tc>
          <w:tcPr>
            <w:tcW w:w="1460" w:type="dxa"/>
          </w:tcPr>
          <w:p>
            <w:pPr>
              <w:jc w:val="center"/>
              <w:rPr>
                <w:rFonts w:ascii="仿宋_GB2312" w:hAnsi="仿宋_GB2312" w:cs="仿宋_GB2312"/>
                <w:sz w:val="28"/>
                <w:szCs w:val="28"/>
                <w:highlight w:val="none"/>
              </w:rPr>
            </w:pPr>
            <w:r>
              <w:rPr>
                <w:rFonts w:hint="eastAsia" w:ascii="仿宋_GB2312" w:hAnsi="仿宋_GB2312" w:cs="仿宋_GB2312"/>
                <w:sz w:val="28"/>
                <w:szCs w:val="28"/>
                <w:highlight w:val="none"/>
              </w:rPr>
              <w:t>53.7</w:t>
            </w:r>
            <w:r>
              <w:rPr>
                <w:rFonts w:ascii="仿宋_GB2312" w:hAnsi="仿宋_GB2312" w:cs="仿宋_GB2312"/>
                <w:sz w:val="28"/>
                <w:szCs w:val="28"/>
                <w:highlight w:val="none"/>
              </w:rPr>
              <w:t>7</w:t>
            </w:r>
            <w:r>
              <w:rPr>
                <w:rFonts w:hint="eastAsia" w:ascii="仿宋_GB2312" w:hAnsi="仿宋_GB2312" w:cs="仿宋_GB2312"/>
                <w:sz w:val="28"/>
                <w:szCs w:val="28"/>
                <w:highlight w:val="none"/>
              </w:rPr>
              <w:t>%</w:t>
            </w:r>
          </w:p>
        </w:tc>
        <w:tc>
          <w:tcPr>
            <w:tcW w:w="1461" w:type="dxa"/>
          </w:tcPr>
          <w:p>
            <w:pPr>
              <w:jc w:val="center"/>
              <w:rPr>
                <w:rFonts w:ascii="仿宋_GB2312" w:hAnsi="仿宋_GB2312" w:cs="仿宋_GB2312"/>
                <w:sz w:val="28"/>
                <w:szCs w:val="28"/>
                <w:highlight w:val="none"/>
              </w:rPr>
            </w:pPr>
            <w:r>
              <w:rPr>
                <w:rFonts w:hint="eastAsia" w:ascii="仿宋_GB2312" w:hAnsi="仿宋_GB2312" w:cs="仿宋_GB2312"/>
                <w:sz w:val="28"/>
                <w:szCs w:val="28"/>
                <w:highlight w:val="none"/>
              </w:rPr>
              <w:t>64.4</w:t>
            </w:r>
            <w:r>
              <w:rPr>
                <w:rFonts w:ascii="仿宋_GB2312" w:hAnsi="仿宋_GB2312" w:cs="仿宋_GB2312"/>
                <w:sz w:val="28"/>
                <w:szCs w:val="28"/>
                <w:highlight w:val="none"/>
              </w:rPr>
              <w:t>9</w:t>
            </w:r>
            <w:r>
              <w:rPr>
                <w:rFonts w:hint="eastAsia" w:ascii="仿宋_GB2312" w:hAnsi="仿宋_GB2312" w:cs="仿宋_GB2312"/>
                <w:sz w:val="28"/>
                <w:szCs w:val="28"/>
                <w:highlight w:val="none"/>
              </w:rPr>
              <w:t>%</w:t>
            </w:r>
          </w:p>
        </w:tc>
      </w:tr>
    </w:tbl>
    <w:p>
      <w:pPr>
        <w:pStyle w:val="2"/>
        <w:keepNext/>
        <w:keepLines/>
        <w:ind w:firstLine="640" w:firstLineChars="200"/>
        <w:contextualSpacing w:val="0"/>
        <w:rPr>
          <w:rFonts w:hAnsi="仿宋_GB2312" w:eastAsia="黑体"/>
          <w:b w:val="0"/>
          <w:kern w:val="44"/>
          <w:szCs w:val="32"/>
          <w:lang w:eastAsia="zh-Hans"/>
        </w:rPr>
      </w:pPr>
      <w:bookmarkStart w:id="49" w:name="_Toc154722955"/>
      <w:bookmarkStart w:id="50" w:name="_Toc154722894"/>
      <w:r>
        <w:rPr>
          <w:rFonts w:hint="eastAsia" w:hAnsi="仿宋_GB2312" w:eastAsia="黑体"/>
          <w:b w:val="0"/>
          <w:kern w:val="44"/>
          <w:szCs w:val="32"/>
          <w:lang w:eastAsia="zh-Hans"/>
        </w:rPr>
        <w:t>三、主要成效、存在的问题及原因分析</w:t>
      </w:r>
      <w:bookmarkEnd w:id="49"/>
      <w:bookmarkEnd w:id="50"/>
    </w:p>
    <w:p>
      <w:pPr>
        <w:pStyle w:val="3"/>
        <w:ind w:firstLine="640"/>
        <w:rPr>
          <w:rFonts w:eastAsia="楷体_GB2312" w:cs="仿宋_GB2312"/>
          <w:b w:val="0"/>
          <w:szCs w:val="32"/>
        </w:rPr>
      </w:pPr>
      <w:bookmarkStart w:id="51" w:name="_Toc154722895"/>
      <w:bookmarkStart w:id="52" w:name="_Toc154722956"/>
      <w:r>
        <w:rPr>
          <w:rFonts w:hint="eastAsia" w:eastAsia="楷体_GB2312" w:cs="仿宋_GB2312"/>
          <w:b w:val="0"/>
          <w:szCs w:val="32"/>
        </w:rPr>
        <w:t>（一）主要成效</w:t>
      </w:r>
      <w:bookmarkEnd w:id="51"/>
      <w:bookmarkEnd w:id="52"/>
    </w:p>
    <w:p>
      <w:pPr>
        <w:pStyle w:val="4"/>
        <w:spacing w:line="360" w:lineRule="auto"/>
        <w:rPr>
          <w:rFonts w:hAnsi="仿宋_GB2312" w:cs="仿宋_GB2312"/>
        </w:rPr>
      </w:pPr>
      <w:bookmarkStart w:id="53" w:name="_Toc154722896"/>
      <w:bookmarkStart w:id="54" w:name="_Toc154722957"/>
      <w:bookmarkStart w:id="55" w:name="_Toc1340635722"/>
      <w:r>
        <w:rPr>
          <w:rFonts w:hint="eastAsia" w:hAnsi="仿宋_GB2312" w:cs="仿宋_GB2312"/>
        </w:rPr>
        <w:t>1.公共卫生服务管理体系基本建立，为项目实施奠定了基础</w:t>
      </w:r>
      <w:bookmarkEnd w:id="53"/>
      <w:bookmarkEnd w:id="54"/>
    </w:p>
    <w:p>
      <w:pPr>
        <w:adjustRightInd w:val="0"/>
        <w:snapToGrid w:val="0"/>
        <w:spacing w:line="560" w:lineRule="exact"/>
        <w:ind w:firstLine="640" w:firstLineChars="200"/>
        <w:contextualSpacing/>
        <w:rPr>
          <w:rFonts w:ascii="仿宋_GB2312" w:hAnsi="宋体" w:cs="宋体"/>
          <w:sz w:val="32"/>
          <w:szCs w:val="28"/>
        </w:rPr>
      </w:pPr>
      <w:r>
        <w:rPr>
          <w:rFonts w:hint="eastAsia" w:ascii="仿宋_GB2312" w:hAnsi="宋体" w:cs="宋体"/>
          <w:sz w:val="32"/>
          <w:szCs w:val="28"/>
        </w:rPr>
        <w:t>高新区各基层卫生单位制定了2022年度基本公共卫生服务项目工作实施方案，成立领导小组，明确专人负责，建立了以镇卫生院、社区卫生服务中心和村卫生室、社区卫生服务站为主体实施的基本公共卫生服务组织管理体系，形成了统一管理、分项负责，统分结合、整体推进的基本公共卫生服务格局，公共卫生服务组织管理体系基本建立，为项目实施奠定基础。</w:t>
      </w:r>
    </w:p>
    <w:p>
      <w:pPr>
        <w:pStyle w:val="4"/>
        <w:spacing w:line="360" w:lineRule="auto"/>
        <w:rPr>
          <w:rFonts w:hAnsi="仿宋_GB2312" w:cs="仿宋_GB2312"/>
        </w:rPr>
      </w:pPr>
      <w:bookmarkStart w:id="56" w:name="_Toc154722958"/>
      <w:bookmarkStart w:id="57" w:name="_Toc154722897"/>
      <w:r>
        <w:rPr>
          <w:rFonts w:hint="eastAsia" w:hAnsi="仿宋_GB2312" w:cs="仿宋_GB2312"/>
        </w:rPr>
        <w:t>2.</w:t>
      </w:r>
      <w:bookmarkEnd w:id="55"/>
      <w:r>
        <w:rPr>
          <w:rFonts w:hint="eastAsia" w:hAnsi="仿宋_GB2312" w:cs="仿宋_GB2312"/>
        </w:rPr>
        <w:t>“钱随事走”购买服务，专项资金管理比较规范</w:t>
      </w:r>
      <w:bookmarkEnd w:id="56"/>
      <w:bookmarkEnd w:id="57"/>
    </w:p>
    <w:p>
      <w:pPr>
        <w:adjustRightInd w:val="0"/>
        <w:snapToGrid w:val="0"/>
        <w:spacing w:line="560" w:lineRule="exact"/>
        <w:ind w:firstLine="640" w:firstLineChars="200"/>
        <w:contextualSpacing/>
        <w:rPr>
          <w:rFonts w:ascii="仿宋_GB2312" w:hAnsi="宋体" w:cs="宋体"/>
          <w:sz w:val="32"/>
          <w:szCs w:val="28"/>
        </w:rPr>
      </w:pPr>
      <w:r>
        <w:rPr>
          <w:rFonts w:hint="eastAsia" w:ascii="仿宋_GB2312" w:hAnsi="宋体" w:cs="宋体"/>
          <w:sz w:val="32"/>
          <w:szCs w:val="28"/>
        </w:rPr>
        <w:t>2022年3月28日，高新区综合办公室印发《平顶山高新区财政专项资金管理办法（试行）》（平开综办〔2022〕10号），对专项资金申报、使用、管理、监督提出了明确要求，项目单位按“钱随事走”的购买服务机制，结合绩效考核实施方案的要求，将资金拨付与项目任务完成数量、质量以及群众满意度等指标严格挂钩，单列专项、专款专用，资金使用规范性有较大提升。</w:t>
      </w:r>
    </w:p>
    <w:p>
      <w:pPr>
        <w:pStyle w:val="4"/>
        <w:spacing w:line="360" w:lineRule="auto"/>
        <w:rPr>
          <w:rFonts w:hAnsi="仿宋_GB2312" w:cs="仿宋_GB2312"/>
        </w:rPr>
      </w:pPr>
      <w:bookmarkStart w:id="58" w:name="_Toc154722898"/>
      <w:bookmarkStart w:id="59" w:name="_Toc154722959"/>
      <w:r>
        <w:rPr>
          <w:rFonts w:hint="eastAsia" w:hAnsi="仿宋_GB2312" w:cs="仿宋_GB2312"/>
        </w:rPr>
        <w:t>3.年初绩效目标基本实现，公共卫生服务水平不断提高</w:t>
      </w:r>
      <w:bookmarkEnd w:id="58"/>
      <w:bookmarkEnd w:id="59"/>
    </w:p>
    <w:p>
      <w:pPr>
        <w:adjustRightInd w:val="0"/>
        <w:snapToGrid w:val="0"/>
        <w:spacing w:line="560" w:lineRule="exact"/>
        <w:ind w:firstLine="640" w:firstLineChars="200"/>
        <w:contextualSpacing/>
        <w:rPr>
          <w:rFonts w:ascii="仿宋_GB2312" w:hAnsi="宋体" w:cs="宋体"/>
          <w:sz w:val="32"/>
          <w:szCs w:val="28"/>
        </w:rPr>
      </w:pPr>
      <w:r>
        <w:rPr>
          <w:rFonts w:hint="eastAsia" w:ascii="仿宋_GB2312" w:hAnsi="宋体" w:cs="宋体"/>
          <w:sz w:val="32"/>
          <w:szCs w:val="28"/>
        </w:rPr>
        <w:t>高新区居民电子健康档案建档率达93.56%。适龄儿童国家免疫规划疫苗接种率达95%以上。社区卫生服务中心和乡镇卫生院健康管理服务65岁及以上老年人4980人，规范管理率为66.42%；高血压患者管理人数2337人、2型糖尿病患者规范管理率均达81.52%。0-6岁儿童管理、孕产妇健康管理、传染病及突发公共卫生事件的报告和处理服务、健康教育服务、肺结核患者健康管理服务、严重精神障碍患者管理服务等均基本达到年初设定的绩效目标项目单位管理服务基本达到年初设定的绩效目标，城乡居民公共卫生差距逐步缩小，基本公共卫生服务水平不断提高。</w:t>
      </w:r>
    </w:p>
    <w:p>
      <w:pPr>
        <w:pStyle w:val="3"/>
        <w:ind w:firstLine="640"/>
        <w:rPr>
          <w:rFonts w:eastAsia="楷体_GB2312" w:cs="仿宋_GB2312"/>
          <w:b w:val="0"/>
          <w:szCs w:val="32"/>
        </w:rPr>
      </w:pPr>
      <w:bookmarkStart w:id="60" w:name="_Toc154722960"/>
      <w:bookmarkStart w:id="61" w:name="_Toc154722899"/>
      <w:r>
        <w:rPr>
          <w:rFonts w:hint="eastAsia" w:eastAsia="楷体_GB2312" w:cs="仿宋_GB2312"/>
          <w:b w:val="0"/>
          <w:szCs w:val="32"/>
        </w:rPr>
        <w:t>（二）存在问题</w:t>
      </w:r>
      <w:bookmarkEnd w:id="60"/>
      <w:bookmarkEnd w:id="61"/>
    </w:p>
    <w:p>
      <w:pPr>
        <w:adjustRightInd w:val="0"/>
        <w:snapToGrid w:val="0"/>
        <w:spacing w:line="560" w:lineRule="exact"/>
        <w:ind w:firstLine="640" w:firstLineChars="200"/>
        <w:contextualSpacing/>
        <w:rPr>
          <w:rFonts w:ascii="仿宋_GB2312" w:hAnsi="宋体" w:cs="宋体"/>
          <w:sz w:val="32"/>
          <w:szCs w:val="28"/>
        </w:rPr>
      </w:pPr>
      <w:bookmarkStart w:id="62" w:name="_Toc1434478264"/>
      <w:r>
        <w:rPr>
          <w:rFonts w:hint="eastAsia" w:ascii="仿宋_GB2312" w:hAnsi="宋体" w:cs="宋体"/>
          <w:sz w:val="32"/>
          <w:szCs w:val="28"/>
        </w:rPr>
        <w:t>评价小组通过高新区农业农村和社会事务局提供的相关文件材料分析调查，以及对该项目的实地考察，发现该项目主要存在以下问题</w:t>
      </w:r>
      <w:bookmarkEnd w:id="62"/>
      <w:r>
        <w:rPr>
          <w:rFonts w:hint="eastAsia" w:ascii="仿宋_GB2312" w:hAnsi="宋体" w:cs="宋体"/>
          <w:sz w:val="32"/>
          <w:szCs w:val="28"/>
        </w:rPr>
        <w:t>：</w:t>
      </w:r>
    </w:p>
    <w:p>
      <w:pPr>
        <w:pStyle w:val="4"/>
        <w:spacing w:line="360" w:lineRule="auto"/>
        <w:rPr>
          <w:rFonts w:hAnsi="仿宋_GB2312" w:cs="仿宋_GB2312"/>
        </w:rPr>
      </w:pPr>
      <w:bookmarkStart w:id="63" w:name="_Toc154722900"/>
      <w:bookmarkStart w:id="64" w:name="_Toc154722961"/>
      <w:bookmarkStart w:id="65" w:name="_Toc18971"/>
      <w:r>
        <w:rPr>
          <w:rFonts w:hint="eastAsia" w:hAnsi="仿宋_GB2312" w:cs="仿宋_GB2312"/>
        </w:rPr>
        <w:t>1.预算年度未按政策足额安排项目资金</w:t>
      </w:r>
      <w:bookmarkEnd w:id="63"/>
      <w:bookmarkEnd w:id="64"/>
    </w:p>
    <w:p>
      <w:pPr>
        <w:spacing w:line="560" w:lineRule="exact"/>
        <w:ind w:firstLine="640" w:firstLineChars="200"/>
        <w:rPr>
          <w:rFonts w:ascii="仿宋_GB2312" w:hAnsi="仿宋_GB2312" w:cs="仿宋_GB2312"/>
          <w:sz w:val="32"/>
          <w:szCs w:val="32"/>
        </w:rPr>
      </w:pPr>
      <w:r>
        <w:rPr>
          <w:rFonts w:hint="eastAsia" w:ascii="仿宋_GB2312" w:hAnsi="仿宋_GB2312" w:cs="仿宋_GB2312"/>
          <w:sz w:val="32"/>
          <w:szCs w:val="32"/>
        </w:rPr>
        <w:t>2022年基本公共卫生服务经费人均财政补助标准84元，高新区辖区核定人数5.34万人，</w:t>
      </w:r>
      <w:bookmarkStart w:id="66" w:name="_Hlk155453196"/>
      <w:r>
        <w:rPr>
          <w:rFonts w:hint="eastAsia" w:ascii="仿宋_GB2312" w:hAnsi="仿宋_GB2312" w:cs="仿宋_GB2312"/>
          <w:sz w:val="32"/>
          <w:szCs w:val="32"/>
        </w:rPr>
        <w:t>全年基本公卫服务</w:t>
      </w:r>
      <w:bookmarkEnd w:id="66"/>
      <w:r>
        <w:rPr>
          <w:rFonts w:hint="eastAsia" w:ascii="仿宋_GB2312" w:hAnsi="仿宋_GB2312" w:cs="仿宋_GB2312"/>
          <w:sz w:val="32"/>
          <w:szCs w:val="32"/>
        </w:rPr>
        <w:t>经费应安排预算449万元</w:t>
      </w:r>
      <w:bookmarkStart w:id="67" w:name="_Hlk154684910"/>
      <w:r>
        <w:rPr>
          <w:rFonts w:hint="eastAsia" w:ascii="仿宋_GB2312" w:hAnsi="仿宋_GB2312" w:cs="仿宋_GB2312"/>
          <w:sz w:val="32"/>
          <w:szCs w:val="32"/>
        </w:rPr>
        <w:t>（其中，上级下达321.48万元，区级应匹配140.52万元，实际配套55.36万元），资金投入总额为376.84万元，</w:t>
      </w:r>
      <w:bookmarkEnd w:id="67"/>
      <w:r>
        <w:rPr>
          <w:rFonts w:hint="eastAsia" w:ascii="仿宋_GB2312" w:hAnsi="仿宋_GB2312" w:cs="仿宋_GB2312"/>
          <w:sz w:val="32"/>
          <w:szCs w:val="32"/>
        </w:rPr>
        <w:t>剩余缺口85.16万元，资金未按政策足额安排。2023年6月，项目单位和高新区财政局联合出具《2022年度基本公共卫生服务预算资金整改落实情况》，2023年3月8日前，共拨付到位项目资金408.84万元，尚有17.71万元未能拨付到位。</w:t>
      </w:r>
    </w:p>
    <w:p>
      <w:pPr>
        <w:pStyle w:val="4"/>
        <w:spacing w:line="360" w:lineRule="auto"/>
        <w:rPr>
          <w:rFonts w:hAnsi="仿宋_GB2312" w:cs="仿宋_GB2312"/>
        </w:rPr>
      </w:pPr>
      <w:bookmarkStart w:id="68" w:name="_Toc154722962"/>
      <w:bookmarkStart w:id="69" w:name="_Toc154722901"/>
      <w:r>
        <w:rPr>
          <w:rFonts w:hint="eastAsia" w:hAnsi="仿宋_GB2312" w:cs="仿宋_GB2312"/>
        </w:rPr>
        <w:t>2.部分绩效指标未能达到预期</w:t>
      </w:r>
      <w:bookmarkEnd w:id="68"/>
      <w:bookmarkEnd w:id="69"/>
      <w:r>
        <w:rPr>
          <w:rFonts w:hint="eastAsia" w:hAnsi="仿宋_GB2312" w:cs="仿宋_GB2312"/>
        </w:rPr>
        <w:t>目标</w:t>
      </w:r>
    </w:p>
    <w:p>
      <w:pPr>
        <w:spacing w:line="560" w:lineRule="exact"/>
        <w:ind w:firstLine="640" w:firstLineChars="200"/>
        <w:rPr>
          <w:rFonts w:ascii="仿宋_GB2312" w:hAnsi="仿宋_GB2312" w:cs="仿宋_GB2312"/>
          <w:sz w:val="32"/>
          <w:szCs w:val="32"/>
        </w:rPr>
      </w:pPr>
      <w:r>
        <w:rPr>
          <w:rFonts w:hint="eastAsia" w:ascii="仿宋_GB2312" w:hAnsi="仿宋_GB2312" w:cs="仿宋_GB2312"/>
          <w:sz w:val="32"/>
          <w:szCs w:val="32"/>
        </w:rPr>
        <w:t>根据《2022年基本公共卫生服务项目绩效评价情况通报》2022年下达的年度绩效目标，高血压患者管理率、控制率，糖尿病患者规范管理率、控制率，肺结核病患者规则服药率等指标均为达到预期目标。数量指标“儿童中医药健康管理服务率”遵化店卫生院63.16%，未达到指标值≥77%的要求；“0-6岁儿童眼保健操和视力筛查覆盖率”为74.13%，未实现指标值≥90%目标；“老年人中医药健康管理率”为60.68%，未达到指标值≥70%的要求。</w:t>
      </w:r>
    </w:p>
    <w:p>
      <w:pPr>
        <w:pStyle w:val="4"/>
        <w:spacing w:line="360" w:lineRule="auto"/>
        <w:rPr>
          <w:rFonts w:hAnsi="仿宋_GB2312" w:cs="仿宋_GB2312"/>
        </w:rPr>
      </w:pPr>
      <w:bookmarkStart w:id="70" w:name="_Toc154722902"/>
      <w:bookmarkStart w:id="71" w:name="_Toc154722963"/>
      <w:r>
        <w:rPr>
          <w:rFonts w:hint="eastAsia" w:hAnsi="仿宋_GB2312" w:cs="仿宋_GB2312"/>
        </w:rPr>
        <w:t>3.</w:t>
      </w:r>
      <w:bookmarkStart w:id="72" w:name="_Hlk155453297"/>
      <w:r>
        <w:rPr>
          <w:rFonts w:hint="eastAsia" w:hAnsi="仿宋_GB2312" w:cs="仿宋_GB2312"/>
        </w:rPr>
        <w:t>预算年度项目资金支出比例不高</w:t>
      </w:r>
      <w:bookmarkEnd w:id="70"/>
      <w:bookmarkEnd w:id="71"/>
      <w:bookmarkEnd w:id="72"/>
    </w:p>
    <w:p>
      <w:pPr>
        <w:spacing w:line="560" w:lineRule="exact"/>
        <w:ind w:firstLine="640" w:firstLineChars="200"/>
        <w:rPr>
          <w:rFonts w:ascii="仿宋_GB2312" w:hAnsi="仿宋_GB2312" w:cs="仿宋_GB2312"/>
          <w:sz w:val="32"/>
          <w:szCs w:val="32"/>
        </w:rPr>
      </w:pPr>
      <w:r>
        <w:rPr>
          <w:rFonts w:hint="eastAsia" w:ascii="仿宋_GB2312" w:hAnsi="仿宋_GB2312" w:cs="仿宋_GB2312"/>
          <w:sz w:val="32"/>
          <w:szCs w:val="32"/>
        </w:rPr>
        <w:t>项目单位资金明细账显示，2022年度项目资金投入总额为376.84万元，实际执行238.26万元，预算执行率为63.22%，全年基本公共卫生专项资金支出比例不高，剩余资金于2023年支付。</w:t>
      </w:r>
    </w:p>
    <w:p>
      <w:pPr>
        <w:pStyle w:val="4"/>
        <w:spacing w:line="360" w:lineRule="auto"/>
        <w:rPr>
          <w:rFonts w:hAnsi="仿宋_GB2312" w:cs="仿宋_GB2312"/>
        </w:rPr>
      </w:pPr>
      <w:bookmarkStart w:id="73" w:name="_Toc154722903"/>
      <w:bookmarkStart w:id="74" w:name="_Toc154722964"/>
      <w:r>
        <w:rPr>
          <w:rFonts w:hint="eastAsia" w:hAnsi="仿宋_GB2312" w:cs="仿宋_GB2312"/>
        </w:rPr>
        <w:t>4.绩效目标设置不规范，指标设置不合理</w:t>
      </w:r>
      <w:bookmarkEnd w:id="73"/>
      <w:bookmarkEnd w:id="74"/>
    </w:p>
    <w:p>
      <w:pPr>
        <w:spacing w:line="560" w:lineRule="exact"/>
        <w:ind w:firstLine="640" w:firstLineChars="200"/>
        <w:rPr>
          <w:rFonts w:ascii="仿宋_GB2312" w:hAnsi="仿宋_GB2312" w:cs="仿宋_GB2312"/>
          <w:sz w:val="32"/>
          <w:szCs w:val="32"/>
        </w:rPr>
      </w:pPr>
      <w:r>
        <w:rPr>
          <w:rFonts w:hint="eastAsia" w:ascii="仿宋_GB2312" w:hAnsi="仿宋_GB2312" w:cs="仿宋_GB2312"/>
          <w:sz w:val="32"/>
          <w:szCs w:val="32"/>
        </w:rPr>
        <w:t>2022年项目单位总体绩效目标不清晰，虽按照资金来源批次设置有绩效指标，但未能同基本公共卫生专项服务项目紧密结合，未能根据实际服务内容设计产出数量指标，对于需要考核的“适龄儿童国家免疫规划疫苗接种率”、“0-6岁儿童眼保健和视力检查覆盖率”、“孕产妇系统管理率”、“高血压患者管理人数”、“2型糖尿病患者管理人数”、“老年人中医药健康管理率”等指标未能充分列示，不利于项目实施结果考核。</w:t>
      </w:r>
    </w:p>
    <w:p>
      <w:pPr>
        <w:pStyle w:val="4"/>
        <w:spacing w:line="360" w:lineRule="auto"/>
        <w:rPr>
          <w:rFonts w:hAnsi="仿宋_GB2312" w:cs="仿宋_GB2312"/>
        </w:rPr>
      </w:pPr>
      <w:r>
        <w:rPr>
          <w:rFonts w:hint="eastAsia" w:hAnsi="仿宋_GB2312" w:cs="仿宋_GB2312"/>
        </w:rPr>
        <w:t>5.</w:t>
      </w:r>
      <w:bookmarkStart w:id="75" w:name="_Hlk155455706"/>
      <w:r>
        <w:rPr>
          <w:rFonts w:hint="eastAsia" w:hAnsi="仿宋_GB2312" w:cs="仿宋_GB2312"/>
        </w:rPr>
        <w:t>居民知晓率及服务满意度</w:t>
      </w:r>
      <w:bookmarkEnd w:id="75"/>
      <w:r>
        <w:rPr>
          <w:rFonts w:hint="eastAsia" w:hAnsi="仿宋_GB2312" w:cs="仿宋_GB2312"/>
        </w:rPr>
        <w:t>不高</w:t>
      </w:r>
    </w:p>
    <w:p>
      <w:pPr>
        <w:spacing w:line="560" w:lineRule="exact"/>
        <w:ind w:firstLine="640" w:firstLineChars="200"/>
        <w:rPr>
          <w:rFonts w:ascii="仿宋_GB2312" w:hAnsi="仿宋_GB2312" w:cs="仿宋_GB2312"/>
          <w:sz w:val="32"/>
          <w:szCs w:val="32"/>
        </w:rPr>
      </w:pPr>
      <w:r>
        <w:rPr>
          <w:rFonts w:hint="eastAsia" w:ascii="仿宋_GB2312" w:hAnsi="仿宋_GB2312" w:cs="仿宋_GB2312"/>
          <w:sz w:val="32"/>
          <w:szCs w:val="32"/>
        </w:rPr>
        <w:t>绩效评价组按照评价体系中居民知晓率及服务满意度指标抽样要求，随机进行抽样调查，结果显示项目实施结果不理想，居民知晓率</w:t>
      </w:r>
      <w:r>
        <w:rPr>
          <w:rFonts w:hint="eastAsia" w:ascii="仿宋_GB2312" w:hAnsi="仿宋_GB2312" w:cs="仿宋_GB2312"/>
          <w:color w:val="auto"/>
          <w:sz w:val="32"/>
          <w:szCs w:val="32"/>
          <w:highlight w:val="none"/>
        </w:rPr>
        <w:t>为65.4%，服务对象满意度为69</w:t>
      </w:r>
      <w:r>
        <w:rPr>
          <w:rFonts w:ascii="仿宋_GB2312" w:hAnsi="仿宋_GB2312" w:cs="仿宋_GB2312"/>
          <w:color w:val="auto"/>
          <w:sz w:val="32"/>
          <w:szCs w:val="32"/>
          <w:highlight w:val="none"/>
        </w:rPr>
        <w:t>.2</w:t>
      </w:r>
      <w:r>
        <w:rPr>
          <w:rFonts w:hint="eastAsia" w:ascii="仿宋_GB2312" w:hAnsi="仿宋_GB2312" w:cs="仿宋_GB2312"/>
          <w:color w:val="auto"/>
          <w:sz w:val="32"/>
          <w:szCs w:val="32"/>
          <w:highlight w:val="none"/>
        </w:rPr>
        <w:t>%，抽</w:t>
      </w:r>
      <w:r>
        <w:rPr>
          <w:rFonts w:hint="eastAsia" w:ascii="仿宋_GB2312" w:hAnsi="仿宋_GB2312" w:cs="仿宋_GB2312"/>
          <w:sz w:val="32"/>
          <w:szCs w:val="32"/>
        </w:rPr>
        <w:t>样调查结果与《高新区2022年基本公共卫生服务项目绩效评价情况通报》的遵化店镇和皇台街道“居民知晓率和满意度偏低”结果高度一致。</w:t>
      </w:r>
    </w:p>
    <w:bookmarkEnd w:id="65"/>
    <w:p>
      <w:pPr>
        <w:pStyle w:val="2"/>
        <w:keepNext/>
        <w:keepLines/>
        <w:ind w:firstLine="640" w:firstLineChars="200"/>
        <w:contextualSpacing w:val="0"/>
        <w:rPr>
          <w:rFonts w:hAnsi="仿宋_GB2312" w:eastAsia="黑体"/>
          <w:b w:val="0"/>
          <w:kern w:val="44"/>
          <w:szCs w:val="32"/>
          <w:lang w:eastAsia="zh-Hans"/>
        </w:rPr>
      </w:pPr>
      <w:bookmarkStart w:id="76" w:name="_Toc154722904"/>
      <w:bookmarkStart w:id="77" w:name="_Toc154722965"/>
      <w:r>
        <w:rPr>
          <w:rFonts w:hint="eastAsia" w:hAnsi="仿宋_GB2312" w:eastAsia="黑体"/>
          <w:b w:val="0"/>
          <w:kern w:val="44"/>
          <w:szCs w:val="32"/>
        </w:rPr>
        <w:t>四、</w:t>
      </w:r>
      <w:r>
        <w:rPr>
          <w:rFonts w:hint="eastAsia" w:hAnsi="仿宋_GB2312" w:eastAsia="黑体"/>
          <w:b w:val="0"/>
          <w:kern w:val="44"/>
          <w:szCs w:val="32"/>
          <w:lang w:eastAsia="zh-Hans"/>
        </w:rPr>
        <w:t>具体建议</w:t>
      </w:r>
      <w:bookmarkEnd w:id="76"/>
      <w:bookmarkEnd w:id="77"/>
    </w:p>
    <w:p>
      <w:pPr>
        <w:pStyle w:val="3"/>
        <w:ind w:firstLine="640"/>
        <w:rPr>
          <w:rFonts w:eastAsia="楷体_GB2312" w:cs="仿宋_GB2312"/>
          <w:b w:val="0"/>
          <w:szCs w:val="32"/>
        </w:rPr>
      </w:pPr>
      <w:bookmarkStart w:id="78" w:name="_Toc154722966"/>
      <w:bookmarkStart w:id="79" w:name="_Toc154722905"/>
      <w:r>
        <w:rPr>
          <w:rFonts w:hint="eastAsia" w:eastAsia="楷体_GB2312" w:cs="仿宋_GB2312"/>
          <w:b w:val="0"/>
          <w:szCs w:val="32"/>
        </w:rPr>
        <w:t>（一）明确项目目标，加强资金管理</w:t>
      </w:r>
      <w:bookmarkEnd w:id="78"/>
      <w:bookmarkEnd w:id="79"/>
    </w:p>
    <w:p>
      <w:pPr>
        <w:spacing w:line="560" w:lineRule="exact"/>
        <w:ind w:firstLine="640" w:firstLineChars="200"/>
        <w:rPr>
          <w:rFonts w:ascii="仿宋_GB2312" w:hAnsi="宋体" w:cs="宋体"/>
          <w:sz w:val="32"/>
          <w:szCs w:val="28"/>
        </w:rPr>
      </w:pPr>
      <w:r>
        <w:rPr>
          <w:rFonts w:hint="eastAsia" w:ascii="仿宋_GB2312" w:hAnsi="仿宋_GB2312" w:cs="仿宋_GB2312"/>
          <w:sz w:val="32"/>
          <w:szCs w:val="32"/>
        </w:rPr>
        <w:t>建议按照国家规定的基本公共卫生服务内容，明确总体目标，进行任务分解，细化考核指标，根据基层单位工作任务及实施情况，结合绩效评价结果进行资金分配；同时，积极筹措项目配套资金，确保资金按时、合规拨付，提升资金使用效果。</w:t>
      </w:r>
    </w:p>
    <w:p>
      <w:pPr>
        <w:pStyle w:val="3"/>
        <w:ind w:firstLine="640"/>
        <w:rPr>
          <w:rFonts w:eastAsia="楷体_GB2312" w:cs="仿宋_GB2312"/>
          <w:b w:val="0"/>
          <w:szCs w:val="32"/>
        </w:rPr>
      </w:pPr>
      <w:bookmarkStart w:id="80" w:name="_Toc154722967"/>
      <w:bookmarkStart w:id="81" w:name="_Toc154722906"/>
      <w:r>
        <w:rPr>
          <w:rFonts w:hint="eastAsia" w:eastAsia="楷体_GB2312" w:cs="仿宋_GB2312"/>
          <w:b w:val="0"/>
          <w:szCs w:val="32"/>
        </w:rPr>
        <w:t>（二）加</w:t>
      </w:r>
      <w:bookmarkEnd w:id="80"/>
      <w:bookmarkEnd w:id="81"/>
      <w:r>
        <w:rPr>
          <w:rFonts w:hint="eastAsia" w:eastAsia="楷体_GB2312" w:cs="仿宋_GB2312"/>
          <w:b w:val="0"/>
          <w:szCs w:val="32"/>
        </w:rPr>
        <w:t>大服务投入，提升基层公共卫生服务能力</w:t>
      </w:r>
    </w:p>
    <w:p>
      <w:pPr>
        <w:spacing w:line="560" w:lineRule="exact"/>
        <w:ind w:firstLine="640" w:firstLineChars="200"/>
        <w:rPr>
          <w:rFonts w:ascii="仿宋_GB2312" w:hAnsi="仿宋_GB2312" w:cs="仿宋_GB2312"/>
          <w:sz w:val="32"/>
          <w:szCs w:val="32"/>
        </w:rPr>
      </w:pPr>
      <w:r>
        <w:rPr>
          <w:rFonts w:hint="eastAsia" w:ascii="仿宋_GB2312" w:hAnsi="仿宋_GB2312" w:cs="仿宋_GB2312"/>
          <w:sz w:val="32"/>
          <w:szCs w:val="32"/>
        </w:rPr>
        <w:t>建议加大对基层公共卫生服务机构所需的设备购置和基础设施建设力度，改善基层卫生机构环境，满足群众对基本公共卫生服务需求，可以设立社区卫生服务综合办公室，督导社区责任医生各项服务工作的落实，不断提高服务质量。同时，加强培训，提高基层单位医生业务素质，提高其服务能力；有关政策支持适当</w:t>
      </w:r>
      <w:r>
        <w:rPr>
          <w:rFonts w:hint="eastAsia" w:ascii="仿宋_GB2312" w:hAnsi="仿宋_GB2312" w:cs="仿宋_GB2312"/>
          <w:sz w:val="32"/>
          <w:szCs w:val="32"/>
          <w:lang w:val="en-US" w:eastAsia="zh-CN"/>
        </w:rPr>
        <w:t>向</w:t>
      </w:r>
      <w:r>
        <w:rPr>
          <w:rFonts w:hint="eastAsia" w:ascii="仿宋_GB2312" w:hAnsi="仿宋_GB2312" w:cs="仿宋_GB2312"/>
          <w:sz w:val="32"/>
          <w:szCs w:val="32"/>
        </w:rPr>
        <w:t>乡村医生倾斜，提高其义诊和健康教育的积极性。</w:t>
      </w:r>
    </w:p>
    <w:p>
      <w:pPr>
        <w:pStyle w:val="3"/>
        <w:ind w:firstLine="640"/>
        <w:rPr>
          <w:rFonts w:eastAsia="楷体_GB2312" w:cs="仿宋_GB2312"/>
          <w:b w:val="0"/>
          <w:szCs w:val="32"/>
        </w:rPr>
      </w:pPr>
      <w:bookmarkStart w:id="82" w:name="_Toc154722968"/>
      <w:bookmarkStart w:id="83" w:name="_Toc154722907"/>
      <w:r>
        <w:rPr>
          <w:rFonts w:hint="eastAsia" w:eastAsia="楷体_GB2312" w:cs="仿宋_GB2312"/>
          <w:b w:val="0"/>
          <w:szCs w:val="32"/>
        </w:rPr>
        <w:t>（三）加强绩效管理，</w:t>
      </w:r>
      <w:bookmarkEnd w:id="82"/>
      <w:bookmarkEnd w:id="83"/>
      <w:r>
        <w:rPr>
          <w:rFonts w:hint="eastAsia" w:eastAsia="楷体_GB2312" w:cs="仿宋_GB2312"/>
          <w:b w:val="0"/>
          <w:szCs w:val="32"/>
        </w:rPr>
        <w:t>提升基层单位绩效管理水平</w:t>
      </w:r>
    </w:p>
    <w:p>
      <w:pPr>
        <w:spacing w:line="560" w:lineRule="exact"/>
        <w:ind w:firstLine="640" w:firstLineChars="200"/>
        <w:rPr>
          <w:rFonts w:ascii="仿宋_GB2312" w:hAnsi="仿宋_GB2312" w:cs="仿宋_GB2312"/>
          <w:sz w:val="32"/>
          <w:szCs w:val="32"/>
        </w:rPr>
      </w:pPr>
      <w:r>
        <w:rPr>
          <w:rFonts w:hint="eastAsia" w:ascii="仿宋_GB2312" w:hAnsi="仿宋_GB2312" w:cs="仿宋_GB2312"/>
          <w:sz w:val="32"/>
          <w:szCs w:val="32"/>
        </w:rPr>
        <w:t>考虑到基层公共卫生服务机构绩效管理制度不健全，导致其服务目标不具体、考核指标不清晰等情况，建议根据高新区财政局下发的专项资金绩效评价指标体系，加大对基层公共卫生服务机构相关人员的绩效管理培训，使其进一步明确项目资金的具体使用要求和考核办法，促进其对照标准实施项目管理，提高项目管理水平和服务质量，提高群众满意度。</w:t>
      </w:r>
    </w:p>
    <w:p>
      <w:pPr>
        <w:pStyle w:val="3"/>
        <w:ind w:firstLine="640"/>
        <w:rPr>
          <w:rFonts w:eastAsia="楷体_GB2312" w:cs="仿宋_GB2312"/>
          <w:b w:val="0"/>
          <w:szCs w:val="32"/>
        </w:rPr>
      </w:pPr>
      <w:bookmarkStart w:id="84" w:name="_Toc154722969"/>
      <w:bookmarkStart w:id="85" w:name="_Toc154722908"/>
      <w:r>
        <w:rPr>
          <w:rFonts w:hint="eastAsia" w:eastAsia="楷体_GB2312" w:cs="仿宋_GB2312"/>
          <w:b w:val="0"/>
          <w:szCs w:val="32"/>
        </w:rPr>
        <w:t>（四）加大宣传力度，提升</w:t>
      </w:r>
      <w:bookmarkEnd w:id="84"/>
      <w:bookmarkEnd w:id="85"/>
      <w:r>
        <w:rPr>
          <w:rFonts w:hint="eastAsia" w:eastAsia="楷体_GB2312" w:cs="仿宋_GB2312"/>
          <w:b w:val="0"/>
          <w:szCs w:val="32"/>
        </w:rPr>
        <w:t>群众知晓度</w:t>
      </w:r>
    </w:p>
    <w:p>
      <w:pPr>
        <w:spacing w:line="560" w:lineRule="exact"/>
        <w:ind w:firstLine="640" w:firstLineChars="200"/>
        <w:rPr>
          <w:rFonts w:ascii="仿宋_GB2312" w:hAnsi="仿宋_GB2312" w:cs="仿宋_GB2312"/>
          <w:sz w:val="32"/>
          <w:szCs w:val="32"/>
        </w:rPr>
      </w:pPr>
      <w:bookmarkStart w:id="90" w:name="_GoBack"/>
      <w:r>
        <w:rPr>
          <w:rFonts w:hint="eastAsia" w:ascii="仿宋_GB2312" w:hAnsi="仿宋_GB2312" w:cs="仿宋_GB2312"/>
          <w:sz w:val="32"/>
          <w:szCs w:val="32"/>
        </w:rPr>
        <w:t>建议通过对高血压、糖尿病、肺结核等患者实施的随访服务</w:t>
      </w:r>
      <w:r>
        <w:rPr>
          <w:rFonts w:hint="eastAsia" w:ascii="仿宋_GB2312" w:hAnsi="仿宋_GB2312" w:cs="仿宋_GB2312"/>
          <w:sz w:val="32"/>
          <w:szCs w:val="32"/>
          <w:lang w:val="en-US" w:eastAsia="zh-CN"/>
        </w:rPr>
        <w:t>和</w:t>
      </w:r>
      <w:r>
        <w:rPr>
          <w:rFonts w:hint="eastAsia" w:ascii="仿宋_GB2312" w:hAnsi="仿宋_GB2312" w:cs="仿宋_GB2312"/>
          <w:sz w:val="32"/>
          <w:szCs w:val="32"/>
        </w:rPr>
        <w:t>新生儿定期访视等活动，加大与服务对象的实质性交流，增强其获得感；</w:t>
      </w:r>
      <w:bookmarkEnd w:id="90"/>
      <w:r>
        <w:rPr>
          <w:rFonts w:hint="eastAsia" w:ascii="仿宋_GB2312" w:hAnsi="仿宋_GB2312" w:cs="仿宋_GB2312"/>
          <w:sz w:val="32"/>
          <w:szCs w:val="32"/>
        </w:rPr>
        <w:t>同时，通过宣传栏、标语、讲座、咨询等方式以及各种新媒体途径广泛宣传基本公共卫生服务内容，扩大基本公共卫生服务的影响力，让广大城乡居民更全面了解基本公共卫生服务政策的内涵，提高群众知晓率，鼓励群众积极参与，调动群众接受服务的积极性。</w:t>
      </w:r>
    </w:p>
    <w:p>
      <w:pPr>
        <w:pStyle w:val="2"/>
        <w:keepNext/>
        <w:keepLines/>
        <w:ind w:firstLine="640" w:firstLineChars="200"/>
        <w:contextualSpacing w:val="0"/>
        <w:rPr>
          <w:rFonts w:hAnsi="仿宋_GB2312" w:eastAsia="黑体"/>
          <w:b w:val="0"/>
          <w:kern w:val="44"/>
          <w:szCs w:val="32"/>
        </w:rPr>
      </w:pPr>
      <w:bookmarkStart w:id="86" w:name="_Toc154722970"/>
      <w:bookmarkStart w:id="87" w:name="_Toc154722909"/>
      <w:r>
        <w:rPr>
          <w:rFonts w:hint="eastAsia" w:hAnsi="仿宋_GB2312" w:eastAsia="黑体"/>
          <w:b w:val="0"/>
          <w:kern w:val="44"/>
          <w:szCs w:val="32"/>
        </w:rPr>
        <w:t>五、其他需要说明的问题</w:t>
      </w:r>
      <w:bookmarkEnd w:id="86"/>
      <w:bookmarkEnd w:id="87"/>
    </w:p>
    <w:p>
      <w:pPr>
        <w:spacing w:line="560" w:lineRule="exact"/>
        <w:ind w:firstLine="640" w:firstLineChars="200"/>
        <w:rPr>
          <w:rFonts w:ascii="仿宋_GB2312" w:hAnsi="宋体" w:cs="宋体"/>
          <w:sz w:val="32"/>
          <w:szCs w:val="28"/>
        </w:rPr>
      </w:pPr>
      <w:r>
        <w:rPr>
          <w:rFonts w:hint="eastAsia" w:ascii="仿宋_GB2312" w:hAnsi="宋体" w:cs="宋体"/>
          <w:sz w:val="32"/>
          <w:szCs w:val="28"/>
        </w:rPr>
        <w:t>无</w:t>
      </w:r>
    </w:p>
    <w:p>
      <w:pPr>
        <w:rPr>
          <w:color w:val="FF0000"/>
        </w:rPr>
      </w:pPr>
      <w:bookmarkStart w:id="88" w:name="_Toc226775489"/>
      <w:bookmarkStart w:id="89" w:name="_Toc144973315"/>
    </w:p>
    <w:p>
      <w:pPr>
        <w:rPr>
          <w:color w:val="FF0000"/>
        </w:rPr>
      </w:pPr>
    </w:p>
    <w:p>
      <w:pPr>
        <w:rPr>
          <w:color w:val="FF0000"/>
        </w:rPr>
      </w:pPr>
    </w:p>
    <w:bookmarkEnd w:id="88"/>
    <w:bookmarkEnd w:id="89"/>
    <w:p>
      <w:pPr>
        <w:widowControl/>
        <w:jc w:val="left"/>
        <w:rPr>
          <w:color w:val="FF0000"/>
        </w:rPr>
      </w:pPr>
    </w:p>
    <w:sectPr>
      <w:headerReference r:id="rId3" w:type="default"/>
      <w:footerReference r:id="rId4" w:type="default"/>
      <w:pgSz w:w="11906" w:h="16838"/>
      <w:pgMar w:top="2098" w:right="1474" w:bottom="1985" w:left="1588" w:header="737" w:footer="850" w:gutter="0"/>
      <w:cols w:space="720" w:num="1"/>
      <w:docGrid w:type="lines" w:linePitch="40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方正小标宋_GBK">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center" w:pos="4422"/>
        <w:tab w:val="clear" w:pos="4153"/>
      </w:tabs>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43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q/o+UsAgAAV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yr+j5SwCAABVBAAADgAAAAAAAAABACAAAAAfAQAAZHJzL2Uyb0RvYy54bWxQSwUGAAAAAAYA&#10;BgBZAQAAvQU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43</w:t>
                    </w:r>
                    <w:r>
                      <w:fldChar w:fldCharType="end"/>
                    </w:r>
                  </w:p>
                </w:txbxContent>
              </v:textbox>
            </v:shape>
          </w:pict>
        </mc:Fallback>
      </mc:AlternateContent>
    </w:r>
    <w:r>
      <w:rPr>
        <w:rFonts w:hint="eastAsia"/>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Fonts w:eastAsia="宋体"/>
      </w:rPr>
    </w:pPr>
    <w:r>
      <w:rPr>
        <w:rFonts w:hint="eastAsia"/>
      </w:rPr>
      <w:t>平顶山市财信绩效评价服务有限责任公司</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IwZTY3NGVmN2ZiMDk4Y2IyNTg0MGFjZTI0YjU3MWQifQ=="/>
  </w:docVars>
  <w:rsids>
    <w:rsidRoot w:val="42CE3A6E"/>
    <w:rsid w:val="22F12172"/>
    <w:rsid w:val="42CE3A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仿宋_GB2312" w:cs="Times New Roman"/>
      <w:kern w:val="2"/>
      <w:sz w:val="30"/>
      <w:szCs w:val="24"/>
      <w:lang w:val="en-US" w:eastAsia="zh-CN" w:bidi="ar-SA"/>
    </w:rPr>
  </w:style>
  <w:style w:type="paragraph" w:styleId="2">
    <w:name w:val="heading 1"/>
    <w:basedOn w:val="1"/>
    <w:next w:val="1"/>
    <w:qFormat/>
    <w:uiPriority w:val="9"/>
    <w:pPr>
      <w:spacing w:line="360" w:lineRule="auto"/>
      <w:contextualSpacing/>
      <w:outlineLvl w:val="0"/>
    </w:pPr>
    <w:rPr>
      <w:rFonts w:ascii="仿宋_GB2312" w:hAnsi="Cambria" w:cs="仿宋_GB2312"/>
      <w:b/>
      <w:kern w:val="0"/>
      <w:sz w:val="32"/>
      <w:szCs w:val="28"/>
    </w:rPr>
  </w:style>
  <w:style w:type="paragraph" w:styleId="3">
    <w:name w:val="heading 2"/>
    <w:basedOn w:val="1"/>
    <w:next w:val="1"/>
    <w:unhideWhenUsed/>
    <w:qFormat/>
    <w:uiPriority w:val="0"/>
    <w:pPr>
      <w:keepNext/>
      <w:keepLines/>
      <w:spacing w:line="360" w:lineRule="auto"/>
      <w:ind w:firstLine="883" w:firstLineChars="200"/>
      <w:outlineLvl w:val="1"/>
    </w:pPr>
    <w:rPr>
      <w:rFonts w:ascii="Arial" w:hAnsi="Arial"/>
      <w:b/>
      <w:sz w:val="32"/>
    </w:rPr>
  </w:style>
  <w:style w:type="paragraph" w:styleId="4">
    <w:name w:val="heading 3"/>
    <w:basedOn w:val="1"/>
    <w:next w:val="1"/>
    <w:unhideWhenUsed/>
    <w:qFormat/>
    <w:uiPriority w:val="9"/>
    <w:pPr>
      <w:keepNext/>
      <w:keepLines/>
      <w:ind w:firstLine="643" w:firstLineChars="200"/>
      <w:outlineLvl w:val="2"/>
    </w:pPr>
    <w:rPr>
      <w:rFonts w:ascii="仿宋_GB2312"/>
      <w:b/>
      <w:sz w:val="32"/>
      <w:szCs w:val="32"/>
    </w:rPr>
  </w:style>
  <w:style w:type="character" w:default="1" w:styleId="11">
    <w:name w:val="Default Paragraph Font"/>
    <w:semiHidden/>
    <w:uiPriority w:val="0"/>
  </w:style>
  <w:style w:type="table" w:default="1" w:styleId="9">
    <w:name w:val="Normal Table"/>
    <w:semiHidden/>
    <w:uiPriority w:val="0"/>
    <w:tblPr>
      <w:tblCellMar>
        <w:top w:w="0" w:type="dxa"/>
        <w:left w:w="108" w:type="dxa"/>
        <w:bottom w:w="0" w:type="dxa"/>
        <w:right w:w="108" w:type="dxa"/>
      </w:tblCellMar>
    </w:tblPr>
  </w:style>
  <w:style w:type="paragraph" w:styleId="5">
    <w:name w:val="footer"/>
    <w:basedOn w:val="1"/>
    <w:unhideWhenUsed/>
    <w:qFormat/>
    <w:uiPriority w:val="99"/>
    <w:pPr>
      <w:tabs>
        <w:tab w:val="center" w:pos="4153"/>
        <w:tab w:val="right" w:pos="8306"/>
      </w:tabs>
      <w:snapToGrid w:val="0"/>
      <w:jc w:val="left"/>
    </w:pPr>
    <w:rPr>
      <w:sz w:val="18"/>
      <w:szCs w:val="18"/>
    </w:rPr>
  </w:style>
  <w:style w:type="paragraph" w:styleId="6">
    <w:name w:val="header"/>
    <w:basedOn w:val="1"/>
    <w:unhideWhenUsed/>
    <w:qFormat/>
    <w:uiPriority w:val="99"/>
    <w:pPr>
      <w:pBdr>
        <w:bottom w:val="single" w:color="auto" w:sz="6" w:space="1"/>
      </w:pBdr>
      <w:tabs>
        <w:tab w:val="center" w:pos="4153"/>
        <w:tab w:val="right" w:pos="8306"/>
      </w:tabs>
      <w:snapToGrid w:val="0"/>
      <w:jc w:val="center"/>
    </w:pPr>
    <w:rPr>
      <w:rFonts w:ascii="仿宋_GB2312" w:hAnsi="仿宋_GB2312" w:cs="仿宋_GB2312"/>
      <w:sz w:val="32"/>
      <w:szCs w:val="32"/>
      <w:lang w:val="zh-CN"/>
    </w:rPr>
  </w:style>
  <w:style w:type="paragraph" w:styleId="7">
    <w:name w:val="toc 1"/>
    <w:basedOn w:val="1"/>
    <w:next w:val="1"/>
    <w:unhideWhenUsed/>
    <w:qFormat/>
    <w:uiPriority w:val="39"/>
  </w:style>
  <w:style w:type="paragraph" w:styleId="8">
    <w:name w:val="toc 2"/>
    <w:basedOn w:val="1"/>
    <w:next w:val="1"/>
    <w:unhideWhenUsed/>
    <w:qFormat/>
    <w:uiPriority w:val="39"/>
    <w:pPr>
      <w:ind w:left="420" w:leftChars="200"/>
    </w:pPr>
  </w:style>
  <w:style w:type="table" w:styleId="10">
    <w:name w:val="Table Grid"/>
    <w:basedOn w:val="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2">
    <w:name w:val="文档正文"/>
    <w:basedOn w:val="1"/>
    <w:autoRedefine/>
    <w:qFormat/>
    <w:uiPriority w:val="0"/>
    <w:pPr>
      <w:adjustRightInd w:val="0"/>
      <w:spacing w:line="500" w:lineRule="exact"/>
      <w:ind w:firstLine="880" w:firstLineChars="200"/>
      <w:textAlignment w:val="baseline"/>
    </w:pPr>
    <w:rPr>
      <w:rFonts w:ascii="仿宋_GB2312" w:hAnsi="仿宋_GB2312" w:eastAsia="仿宋"/>
      <w:kern w:val="0"/>
    </w:rPr>
  </w:style>
  <w:style w:type="paragraph" w:customStyle="1" w:styleId="13">
    <w:name w:val="TOC 标题1"/>
    <w:basedOn w:val="2"/>
    <w:next w:val="1"/>
    <w:autoRedefine/>
    <w:unhideWhenUsed/>
    <w:qFormat/>
    <w:uiPriority w:val="39"/>
    <w:pPr>
      <w:keepNext/>
      <w:keepLines/>
      <w:widowControl/>
      <w:spacing w:before="240" w:line="259" w:lineRule="auto"/>
      <w:contextualSpacing w:val="0"/>
      <w:outlineLvl w:val="9"/>
    </w:pPr>
    <w:rPr>
      <w:rFonts w:asciiTheme="majorHAnsi" w:hAnsiTheme="majorHAnsi" w:eastAsiaTheme="majorEastAsia" w:cstheme="majorBidi"/>
      <w:b w:val="0"/>
      <w:color w:val="2E54A1" w:themeColor="accent1" w:themeShade="BF"/>
      <w:szCs w:val="32"/>
    </w:rPr>
  </w:style>
  <w:style w:type="character" w:customStyle="1" w:styleId="14">
    <w:name w:val="font11"/>
    <w:basedOn w:val="11"/>
    <w:autoRedefine/>
    <w:qFormat/>
    <w:uiPriority w:val="0"/>
    <w:rPr>
      <w:rFonts w:hint="eastAsia" w:ascii="仿宋_GB2312" w:eastAsia="仿宋_GB2312" w:cs="仿宋_GB2312"/>
      <w:color w:val="000000"/>
      <w:sz w:val="21"/>
      <w:szCs w:val="21"/>
      <w:u w:val="none"/>
    </w:rPr>
  </w:style>
  <w:style w:type="character" w:customStyle="1" w:styleId="15">
    <w:name w:val="font51"/>
    <w:basedOn w:val="11"/>
    <w:autoRedefine/>
    <w:qFormat/>
    <w:uiPriority w:val="0"/>
    <w:rPr>
      <w:rFonts w:ascii="微软雅黑" w:hAnsi="微软雅黑" w:eastAsia="微软雅黑" w:cs="微软雅黑"/>
      <w:color w:val="000000"/>
      <w:sz w:val="21"/>
      <w:szCs w:val="21"/>
      <w:u w:val="none"/>
    </w:rPr>
  </w:style>
  <w:style w:type="character" w:customStyle="1" w:styleId="16">
    <w:name w:val="font21"/>
    <w:basedOn w:val="11"/>
    <w:autoRedefine/>
    <w:qFormat/>
    <w:uiPriority w:val="0"/>
    <w:rPr>
      <w:rFonts w:hint="eastAsia" w:ascii="仿宋_GB2312" w:eastAsia="仿宋_GB2312" w:cs="仿宋_GB2312"/>
      <w:color w:val="000000"/>
      <w:sz w:val="18"/>
      <w:szCs w:val="18"/>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2024-01-08T01:54:00Z</dcterms:created>
  <dc:creator>YL</dc:creator>
  <cp:lastModifiedBy>YL</cp:lastModifiedBy>
  <dcterms:modified xsi:type="dcterms:W3CDTF">2024-01-08T04:27:56Z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6804C5899AA443B1A01038F0E80FEB3B_11</vt:lpwstr>
  </property>
</Properties>
</file>