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2022年度平顶山市</w:t>
      </w:r>
      <w:r>
        <w:rPr>
          <w:rFonts w:hint="eastAsia" w:ascii="黑体" w:hAnsi="黑体" w:eastAsia="黑体"/>
          <w:sz w:val="44"/>
          <w:szCs w:val="44"/>
        </w:rPr>
        <w:t>高新区综合办公室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ascii="黑体" w:hAnsi="黑体" w:eastAsia="黑体"/>
          <w:sz w:val="44"/>
          <w:szCs w:val="44"/>
        </w:rPr>
      </w:pPr>
      <w:bookmarkStart w:id="0" w:name="_Toc31676"/>
      <w:r>
        <w:rPr>
          <w:rFonts w:ascii="黑体" w:hAnsi="黑体" w:eastAsia="黑体"/>
          <w:sz w:val="44"/>
          <w:szCs w:val="44"/>
        </w:rPr>
        <w:t>部门整体绩效评价报告</w:t>
      </w:r>
      <w:bookmarkEnd w:id="0"/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  <w14:ligatures w14:val="standardContextual"/>
        </w:rPr>
      </w:pPr>
      <w:bookmarkStart w:id="1" w:name="_Toc26796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基本情况</w:t>
      </w:r>
      <w:bookmarkEnd w:id="1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2" w:name="_Toc18961"/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  <w14:ligatures w14:val="standardContextual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概况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平顶山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高新区综合办公室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以下简称“综合办”）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是区政府工作部门，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始终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贯彻落实党中央关于综合工作的方针政策和决策部署，在履行职责过程中坚持和加强党对综合工作的集中统一领导。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负责保障机关正常运行相关工作及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完成区工委、管委会交办的其他事项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bookmarkStart w:id="3" w:name="_Toc30531"/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（二）组织架构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综合办无二级预算单位，在岗人数30人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根据《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中共平顶山市委办公室 平顶山市人民政府办公室关于印发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平顶山高新区深化体制机制改革总体方案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&gt;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的通知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平办文〔2022〕1号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文）可知，综合办不纳入编制管理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设综合科、绩效考核办公室、文电室（电子政务科）、法制办、督办督查室（目标办）、机关事务管理科（节能办），共6个科室。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bookmarkStart w:id="4" w:name="_Toc6908"/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（三）部门预决算情况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综合办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预算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为本级预算，无所属单位预算。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2022年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预算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收入合计1263.3万元，全部来源为一般公共预算财政拨款。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预算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支出总计1263.3万元，基本支出306.3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万元，包括人员经费支出297.64万元，公用经费支出8.76万元，项目支出957万元。经年中调整，调增预算资金420.28万元，其中41万来源为单位资金，其余为一般公共预算财政拨款，全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年预算资金综合1683.58万元，预算调整率为33.27%。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决算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年度收入合计为1</w:t>
      </w:r>
      <w:r>
        <w:rPr>
          <w:rFonts w:ascii="仿宋_GB2312" w:eastAsia="仿宋_GB2312"/>
          <w:sz w:val="32"/>
          <w:szCs w:val="32"/>
        </w:rPr>
        <w:t>095.19</w:t>
      </w:r>
      <w:r>
        <w:rPr>
          <w:rFonts w:hint="eastAsia" w:ascii="仿宋_GB2312" w:eastAsia="仿宋_GB2312"/>
          <w:sz w:val="32"/>
          <w:szCs w:val="32"/>
        </w:rPr>
        <w:t>万元，全部来源为</w:t>
      </w:r>
      <w:r>
        <w:rPr>
          <w:rFonts w:hint="eastAsia" w:ascii="仿宋_GB2312" w:hAnsi="Times New Roman" w:eastAsia="仿宋_GB2312"/>
          <w:sz w:val="32"/>
          <w:szCs w:val="32"/>
        </w:rPr>
        <w:t>财政拨款。支出合计为1</w:t>
      </w:r>
      <w:r>
        <w:rPr>
          <w:rFonts w:ascii="仿宋_GB2312" w:hAnsi="Times New Roman" w:eastAsia="仿宋_GB2312"/>
          <w:sz w:val="32"/>
          <w:szCs w:val="32"/>
        </w:rPr>
        <w:t>095.19</w:t>
      </w:r>
      <w:r>
        <w:rPr>
          <w:rFonts w:hint="eastAsia" w:ascii="仿宋_GB2312" w:hAnsi="Times New Roman" w:eastAsia="仿宋_GB2312"/>
          <w:sz w:val="32"/>
          <w:szCs w:val="32"/>
        </w:rPr>
        <w:t>万元，基本支出2</w:t>
      </w:r>
      <w:r>
        <w:rPr>
          <w:rFonts w:ascii="仿宋_GB2312" w:hAnsi="Times New Roman" w:eastAsia="仿宋_GB2312"/>
          <w:sz w:val="32"/>
          <w:szCs w:val="32"/>
        </w:rPr>
        <w:t>93.37</w:t>
      </w:r>
      <w:r>
        <w:rPr>
          <w:rFonts w:hint="eastAsia" w:ascii="仿宋_GB2312" w:hAnsi="Times New Roman" w:eastAsia="仿宋_GB2312"/>
          <w:sz w:val="32"/>
          <w:szCs w:val="32"/>
        </w:rPr>
        <w:t>万元，包括人员经费支出2</w:t>
      </w:r>
      <w:r>
        <w:rPr>
          <w:rFonts w:ascii="仿宋_GB2312" w:hAnsi="Times New Roman" w:eastAsia="仿宋_GB2312"/>
          <w:sz w:val="32"/>
          <w:szCs w:val="32"/>
        </w:rPr>
        <w:t>89.87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公用经费支出3</w:t>
      </w:r>
      <w:r>
        <w:rPr>
          <w:rFonts w:ascii="仿宋_GB2312" w:hAnsi="宋体" w:eastAsia="仿宋_GB2312" w:cs="Courier New"/>
          <w:sz w:val="32"/>
          <w:szCs w:val="32"/>
        </w:rPr>
        <w:t>.5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项目支出8</w:t>
      </w:r>
      <w:r>
        <w:rPr>
          <w:rFonts w:ascii="仿宋_GB2312" w:hAnsi="Times New Roman" w:eastAsia="仿宋_GB2312"/>
          <w:sz w:val="32"/>
          <w:szCs w:val="32"/>
        </w:rPr>
        <w:t>01.</w:t>
      </w:r>
      <w:r>
        <w:rPr>
          <w:rFonts w:hint="eastAsia" w:ascii="仿宋_GB2312" w:hAnsi="Times New Roman" w:eastAsia="仿宋_GB2312"/>
          <w:sz w:val="32"/>
          <w:szCs w:val="32"/>
        </w:rPr>
        <w:t>8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3.“三公经费”情况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2022年综合办“三公经费”年初预算20万元（公务接待费8万元，公务用车运行维护费12万元），实际执行12.41万元（公务用车购置及运行费支出决算9.3万元，公务接待费支出决算3.11万元），三公经费控制率62%。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1" w:firstLineChars="100"/>
        <w:textAlignment w:val="auto"/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bookmarkStart w:id="5" w:name="_Toc3994"/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（四）2022年重点工作任务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32" w:name="_GoBack"/>
      <w:bookmarkEnd w:id="32"/>
      <w:r>
        <w:rPr>
          <w:rFonts w:hint="eastAsia" w:ascii="仿宋_GB2312" w:eastAsia="仿宋_GB2312"/>
          <w:sz w:val="32"/>
          <w:szCs w:val="32"/>
          <w:lang w:val="en-US" w:eastAsia="zh-CN"/>
        </w:rPr>
        <w:t>2022年度项目支出801.82万元，综合办对2022年度市级预算项目支出进行全面自评，涵盖项目20个，涉及预算资金651.17万元，部分项目未纳入绩效管理。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60" w:lineRule="exact"/>
        <w:ind w:firstLine="643" w:firstLineChars="200"/>
        <w:textAlignment w:val="auto"/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bookmarkStart w:id="6" w:name="_Toc11600"/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（五）部门整体支出绩效目标表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sz w:val="32"/>
          <w:szCs w:val="32"/>
        </w:rPr>
        <w:t>结合部门2022年度</w:t>
      </w:r>
      <w:r>
        <w:rPr>
          <w:rFonts w:hint="eastAsia" w:ascii="仿宋_GB2312" w:hAnsi="Times New Roman" w:eastAsia="仿宋_GB2312"/>
          <w:sz w:val="32"/>
          <w:szCs w:val="32"/>
        </w:rPr>
        <w:t>工作目标及工作任务，重新梳理了部门整体绩效目标表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,目标如下：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目标1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做好资料整理、政策法规把关，保障综合工作有序进行。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目标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监督法律法规执行，协助重大行政违法案件调查。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目标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搞好法律援助及法律专家库管理，提升法律援助案件管理质量。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目标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完成年度责任目标完成情况及重大决策事项的督察，加强工作效能建设。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目标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网民留言及上级建议及时回复，逐步查缺补漏，完善工作部署。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目标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夯实机关事务管理工作，保障工作环境舒适，工作条件完备，提高工作效率。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</w:pPr>
      <w:bookmarkStart w:id="7" w:name="_Toc20649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二、综合评价情况</w:t>
      </w:r>
      <w:bookmarkEnd w:id="7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60" w:lineRule="exact"/>
        <w:ind w:firstLine="643" w:firstLineChars="200"/>
        <w:textAlignment w:val="auto"/>
        <w:rPr>
          <w:rFonts w:hint="default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bookmarkStart w:id="8" w:name="_Toc25505"/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（一）综合评价情况</w:t>
      </w:r>
      <w:bookmarkEnd w:id="8"/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line="560" w:lineRule="exact"/>
        <w:ind w:firstLine="640" w:firstLineChars="200"/>
        <w:textAlignment w:val="auto"/>
        <w:rPr>
          <w:rFonts w:hint="default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</w:pPr>
      <w:bookmarkStart w:id="9" w:name="_Hlk144481209"/>
      <w:r>
        <w:rPr>
          <w:rFonts w:hint="eastAsia" w:ascii="仿宋_GB2312" w:hAnsi="Times New Roman" w:eastAsia="仿宋_GB2312"/>
          <w:sz w:val="32"/>
          <w:szCs w:val="32"/>
          <w:lang w:val="en-US" w:eastAsia="zh-Hans"/>
        </w:rPr>
        <w:t>综合评价认为，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高新区各项工作顺利开展，认真履行工作职责，较好地完成了全年各项工作任务，但也存在预算调整率过大、部门整体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绩效目标表填写不规范、部分项目预算未完全执行等问题。</w:t>
      </w:r>
    </w:p>
    <w:bookmarkEnd w:id="9"/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60" w:lineRule="exact"/>
        <w:ind w:firstLine="643" w:firstLineChars="200"/>
        <w:textAlignment w:val="auto"/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bookmarkStart w:id="10" w:name="_Toc7265"/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（二）综合评价结论</w:t>
      </w:r>
      <w:bookmarkEnd w:id="10"/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line="560" w:lineRule="exact"/>
        <w:ind w:firstLine="640" w:firstLineChars="200"/>
        <w:textAlignment w:val="auto"/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Hans"/>
        </w:rPr>
      </w:pP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2022年度高新区综合办部门整体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Hans"/>
        </w:rPr>
        <w:t>最终评价得分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80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Hans"/>
        </w:rPr>
        <w:t>分，评价等级为“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良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Hans"/>
        </w:rPr>
        <w:t>”，各指标得分情况详见表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Hans"/>
        </w:rPr>
        <w:t>。</w:t>
      </w:r>
    </w:p>
    <w:p>
      <w:pPr>
        <w:spacing w:line="240" w:lineRule="auto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</w:rPr>
        <w:t>.绩效评价综合得分情况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 xml:space="preserve">    指标</w:t>
            </w:r>
          </w:p>
          <w:p>
            <w:pPr>
              <w:spacing w:line="540" w:lineRule="exact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投入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过程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产出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效果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标准分值</w:t>
            </w:r>
          </w:p>
        </w:tc>
        <w:tc>
          <w:tcPr>
            <w:tcW w:w="1420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评价得分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11.25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22.5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21.25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1422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得分率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86.54%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86.54%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59.03%</w:t>
            </w:r>
          </w:p>
        </w:tc>
        <w:tc>
          <w:tcPr>
            <w:tcW w:w="1420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100%</w:t>
            </w:r>
          </w:p>
        </w:tc>
        <w:tc>
          <w:tcPr>
            <w:tcW w:w="1422" w:type="dxa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80%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0" w:afterLines="0" w:line="560" w:lineRule="exact"/>
        <w:ind w:leftChars="0"/>
        <w:contextualSpacing/>
        <w:jc w:val="left"/>
        <w:textAlignment w:val="auto"/>
        <w:rPr>
          <w:rFonts w:ascii="黑体" w:hAnsi="黑体" w:eastAsia="黑体" w:cstheme="minorBidi"/>
          <w:b w:val="0"/>
          <w:kern w:val="2"/>
          <w:sz w:val="32"/>
          <w:szCs w:val="36"/>
          <w:lang w:val="en-US" w:eastAsia="zh-CN" w:bidi="ar-SA"/>
          <w14:ligatures w14:val="standardContextual"/>
        </w:rPr>
      </w:pPr>
      <w:bookmarkStart w:id="11" w:name="_Toc8984"/>
      <w:r>
        <w:rPr>
          <w:rFonts w:hint="eastAsia" w:ascii="黑体" w:hAnsi="黑体" w:eastAsia="黑体" w:cstheme="minorBidi"/>
          <w:b w:val="0"/>
          <w:kern w:val="2"/>
          <w:sz w:val="32"/>
          <w:szCs w:val="36"/>
          <w:lang w:val="en-US" w:eastAsia="zh-CN" w:bidi="ar-SA"/>
          <w14:ligatures w14:val="standardContextual"/>
        </w:rPr>
        <w:t>三、</w:t>
      </w:r>
      <w:r>
        <w:rPr>
          <w:rFonts w:ascii="黑体" w:hAnsi="黑体" w:eastAsia="黑体" w:cstheme="minorBidi"/>
          <w:b w:val="0"/>
          <w:kern w:val="2"/>
          <w:sz w:val="32"/>
          <w:szCs w:val="36"/>
          <w:lang w:val="en-US" w:eastAsia="zh-CN" w:bidi="ar-SA"/>
          <w14:ligatures w14:val="standardContextual"/>
        </w:rPr>
        <w:t>主要成效</w:t>
      </w:r>
      <w:bookmarkEnd w:id="11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default" w:ascii="楷体_GB2312" w:eastAsia="楷体_GB2312"/>
          <w:sz w:val="32"/>
          <w:szCs w:val="32"/>
          <w:lang w:val="en-US" w:eastAsia="zh-CN"/>
        </w:rPr>
      </w:pPr>
      <w:bookmarkStart w:id="12" w:name="_Toc10815"/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（一）有效落实工作部署，保障机关正常运行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高新区综合办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紧紧围绕</w:t>
      </w:r>
      <w:r>
        <w:rPr>
          <w:rFonts w:hint="default" w:eastAsia="仿宋_GB2312"/>
          <w:bCs/>
          <w:color w:val="auto"/>
          <w:kern w:val="44"/>
          <w:sz w:val="32"/>
          <w:szCs w:val="32"/>
          <w:highlight w:val="none"/>
          <w:lang w:val="en" w:eastAsia="zh-CN"/>
        </w:rPr>
        <w:t>市委、市政府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" w:eastAsia="zh-CN"/>
        </w:rPr>
        <w:t>决策</w:t>
      </w:r>
      <w:r>
        <w:rPr>
          <w:rFonts w:hint="eastAsia" w:eastAsia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和工作部署，以推动各项工作落实为目标，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做到了办公楼所有设施运行良好、后勤保障及时、办公环境整洁有序，服务工作及时周到、机关公务运转顺畅，较好的履行了工作职责，为机关工作正常运行提供了保障。</w:t>
      </w:r>
      <w:bookmarkStart w:id="13" w:name="_Toc307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（二）开展全过程预算绩效管理，提高财政资金使用效益</w:t>
      </w:r>
      <w:bookmarkEnd w:id="13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  <w:t>高新区综合办高度重视，全面深化财政部门提出的贯穿预算编制、执行、监督全过程的绩效管理理念，积极开展预算绩效管理工作。采取“事前申报绩效目标和指标、事中开展绩效日常监督、事后进行绩效评价”的方式，建立了贯穿项目支出“事前、事中、事后”全过程的绩效管理模式，</w:t>
      </w:r>
      <w:r>
        <w:rPr>
          <w:rFonts w:hint="eastAsia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  <w:t>有效推动和支持了绩效评价工作，提高了财政资金使用效益。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-13" w:leftChars="0" w:firstLine="643" w:firstLineChars="0"/>
        <w:contextualSpacing/>
        <w:jc w:val="left"/>
        <w:textAlignment w:val="auto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</w:pPr>
      <w:bookmarkStart w:id="14" w:name="_Toc836"/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相关制度完善，提高工作效率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  <w:t>高新区综合办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  <w14:ligatures w14:val="standardContextual"/>
        </w:rPr>
        <w:t>财务制度、政府采购制度、三重一大会议制度、固定资产管理制度、合同管理制度、内部控制制度等相关制度完善，有效地增强了工作人员的责任意识，提高了工作积极性，为综合办工作有序稳定开展提供了制度保障，确保各项工作高效、高质完成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-13" w:leftChars="0" w:firstLine="643" w:firstLineChars="0"/>
        <w:contextualSpacing/>
        <w:jc w:val="left"/>
        <w:textAlignment w:val="auto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</w:pPr>
      <w:bookmarkStart w:id="15" w:name="_Toc25579"/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工作有序开展，获相关单位好评</w:t>
      </w:r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  <w14:ligatures w14:val="standardContextual"/>
        </w:rPr>
        <w:t>高新区综合办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  <w14:ligatures w14:val="standardContextual"/>
        </w:rPr>
        <w:t>工作高效有序开展，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</w:rPr>
        <w:t>综合科、绩效考核办公室、文电室（电子政务科）、法制办、督办督查室（目标办）、机关事务管理科（节能办）</w:t>
      </w:r>
      <w:r>
        <w:rPr>
          <w:rFonts w:hint="eastAsia" w:ascii="仿宋_GB2312" w:hAnsi="宋体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等内设机构各司其职，各负其责，密切配合，通力合作，相关单位好评率高。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Chars="0"/>
        <w:contextualSpacing/>
        <w:jc w:val="both"/>
        <w:textAlignment w:val="auto"/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  <w14:ligatures w14:val="standardContextual"/>
        </w:rPr>
      </w:pPr>
      <w:bookmarkStart w:id="16" w:name="_Toc23188"/>
      <w:r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  <w14:ligatures w14:val="standardContextual"/>
        </w:rPr>
        <w:t>存在的问题</w:t>
      </w:r>
      <w:bookmarkEnd w:id="16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17" w:name="_Toc5420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(一）资金预算有待加强</w:t>
      </w:r>
      <w:bookmarkEnd w:id="17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综合办部门整体预算编制的科学性有待提升，2022年预算调整率达33.27%，整体执行率仅66.5%；综合办2022年度主要项目有20项，总预算1133.52万元，执行651.17万元，执行率仅57.45%，除培训费项目执行率100%，其他项目均未全部执行完毕。问题存在的原因一是疫情原因，支出减少，资金支付率低；二是厉行节约，压缩支出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18" w:name="_Toc4191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（二）专项经费管理不够规范</w:t>
      </w:r>
      <w:bookmarkEnd w:id="1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根据综合办决算公开表可知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项目支出资金共</w:t>
      </w:r>
      <w:r>
        <w:rPr>
          <w:rFonts w:hint="eastAsia" w:ascii="仿宋_GB2312" w:hAnsi="仿宋_GB2312" w:eastAsia="仿宋_GB2312" w:cs="仿宋_GB2312"/>
          <w:sz w:val="32"/>
          <w:szCs w:val="32"/>
        </w:rPr>
        <w:t>801.82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万元，全面自评涵盖项目20个，涉及资金总数651.17万元，与资金项目支出资金总额不一致，且项目资金差额未见相关支付凭证及资金使用的佐证材料。问题存在的原因是专项资金管理不深入、不规范、不全面。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default" w:ascii="楷体" w:hAnsi="楷体" w:eastAsia="楷体" w:cs="楷体"/>
          <w:b/>
          <w:bCs w:val="0"/>
          <w:color w:val="FF0000"/>
          <w:sz w:val="32"/>
          <w:szCs w:val="32"/>
          <w:lang w:val="en-US" w:eastAsia="zh-CN"/>
        </w:rPr>
      </w:pPr>
      <w:bookmarkStart w:id="19" w:name="_Hlk151967561"/>
      <w:bookmarkStart w:id="20" w:name="_Toc18886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（三）</w:t>
      </w:r>
      <w:bookmarkEnd w:id="19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基础信息不一致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预（决）算报告与自评绩效目标表金额不一致，综合办部门整体自评绩效目标表显示，2022年全年预算资金1683.58万元，其中1642.58万元来源为一般公共预算财政拨款，41万来源为单位资金。实际执行1120.87万元，1095.19万元来源一般公共预算财政拨款，25.68万元来源为单位资金。与部门预（决）算报告描述不一致，预（决）算报告均未提及单位资金。问题存在的原因是未能全面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  <w14:ligatures w14:val="standardContextual"/>
        </w:rPr>
        <w:t>综合进行资金汇总整理。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21" w:name="_Toc22716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（四）绩效管理业务有待增强</w:t>
      </w:r>
      <w:bookmarkEnd w:id="21"/>
      <w:bookmarkStart w:id="22" w:name="_Toc12961894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部门整体“年度履职目标”、“年度主要任务”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未能按照规范填写，未能体现</w:t>
      </w:r>
      <w:r>
        <w:rPr>
          <w:rFonts w:hint="eastAsia" w:ascii="仿宋_GB2312" w:eastAsia="仿宋_GB2312"/>
          <w:sz w:val="32"/>
          <w:szCs w:val="32"/>
          <w:lang w:eastAsia="zh-CN"/>
        </w:rPr>
        <w:t>“产出”和“效果”，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且未</w:t>
      </w:r>
      <w:r>
        <w:rPr>
          <w:rFonts w:hint="eastAsia" w:ascii="仿宋_GB2312" w:eastAsia="仿宋_GB2312"/>
          <w:sz w:val="32"/>
          <w:szCs w:val="32"/>
          <w:lang w:eastAsia="zh-CN"/>
        </w:rPr>
        <w:t>分类整理；“年度主要任务”填写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未能</w:t>
      </w:r>
      <w:r>
        <w:rPr>
          <w:rFonts w:hint="eastAsia" w:ascii="仿宋_GB2312" w:eastAsia="仿宋_GB2312"/>
          <w:sz w:val="32"/>
          <w:szCs w:val="32"/>
          <w:lang w:eastAsia="zh-CN"/>
        </w:rPr>
        <w:t>逐项明确“年度任务”，没有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体现</w:t>
      </w:r>
      <w:r>
        <w:rPr>
          <w:rFonts w:hint="eastAsia" w:ascii="仿宋_GB2312" w:eastAsia="仿宋_GB2312"/>
          <w:sz w:val="32"/>
          <w:szCs w:val="32"/>
          <w:lang w:eastAsia="zh-CN"/>
        </w:rPr>
        <w:t>“绩”和“效”的内容。绩效指标设置和目标任务不完全匹配，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eastAsia="仿宋_GB2312"/>
          <w:sz w:val="32"/>
          <w:szCs w:val="32"/>
          <w:lang w:eastAsia="zh-CN"/>
        </w:rPr>
        <w:t>个别绩效指标及其赋值不正确。问题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eastAsia="仿宋_GB2312"/>
          <w:sz w:val="32"/>
          <w:szCs w:val="32"/>
          <w:lang w:eastAsia="zh-CN"/>
        </w:rPr>
        <w:t>的原因是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预算绩效管理的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认识和理解不够全面、深入</w:t>
      </w:r>
      <w:r>
        <w:rPr>
          <w:rFonts w:hint="eastAsia" w:ascii="仿宋_GB2312" w:eastAsia="仿宋_GB2312"/>
          <w:sz w:val="32"/>
          <w:szCs w:val="32"/>
          <w:lang w:eastAsia="zh-CN"/>
        </w:rPr>
        <w:t>，重预算申请，轻目标设置，绩效管理方面的业务技能亟待提高。</w:t>
      </w:r>
      <w:bookmarkEnd w:id="22"/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="0" w:leftChars="0" w:firstLine="0" w:firstLineChars="0"/>
        <w:contextualSpacing/>
        <w:jc w:val="left"/>
        <w:textAlignment w:val="auto"/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  <w14:ligatures w14:val="standardContextual"/>
        </w:rPr>
      </w:pPr>
      <w:bookmarkStart w:id="23" w:name="_Toc1477"/>
      <w:r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  <w14:ligatures w14:val="standardContextual"/>
        </w:rPr>
        <w:t>相关建议</w:t>
      </w:r>
      <w:bookmarkEnd w:id="23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24" w:name="_Toc3736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(一）加强预算管理，提升资金使用率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黑体" w:eastAsia="仿宋_GB2312"/>
          <w:sz w:val="32"/>
          <w:szCs w:val="32"/>
        </w:rPr>
        <w:t>进一步优化部门整体绩效目标表编制，</w:t>
      </w:r>
      <w:r>
        <w:rPr>
          <w:rFonts w:hint="eastAsia" w:ascii="仿宋_GB2312" w:hAnsi="黑体" w:eastAsia="仿宋_GB2312"/>
          <w:b w:val="0"/>
          <w:bCs w:val="0"/>
          <w:color w:val="auto"/>
          <w:sz w:val="32"/>
          <w:szCs w:val="32"/>
        </w:rPr>
        <w:t>强调预算编制的科学化、精细化和规范化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提高预算编制的准确性；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加强项目资金预算管理，充分论证项目立项的必要性、投入经济性、绩效目标合理性、以及实施方案可行性，</w:t>
      </w:r>
      <w:r>
        <w:rPr>
          <w:rFonts w:hint="eastAsia" w:ascii="仿宋_GB2312" w:hAnsi="黑体" w:eastAsia="仿宋_GB2312"/>
          <w:b w:val="0"/>
          <w:bCs w:val="0"/>
          <w:color w:val="auto"/>
          <w:sz w:val="32"/>
          <w:szCs w:val="32"/>
        </w:rPr>
        <w:t>建立项目进程反馈机制，加大对重点项目的监控力度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，提高项目支出资金使用率，提升项目效益。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25" w:name="_Toc11081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（二）细化专项资金，提高项目效益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施项目专项资金管理责任制，确定项目实施期间定期开展内部检查，若出现不可抗力因素，及时按程序进行必要的调整和变更，同时，做好各项目支出绩效目标执行中的控制管理，建好控制台账，确保资金对应绩效目标执行，强化项目推进过程的管理，确保项目按计划推进，提高项目执行率，增加项目收益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default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26" w:name="_Toc15083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（三）重视基础信息填报，提高信息精准度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黑体" w:eastAsia="仿宋_GB2312"/>
          <w:sz w:val="32"/>
          <w:szCs w:val="32"/>
        </w:rPr>
        <w:t>重视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预（</w:t>
      </w:r>
      <w:r>
        <w:rPr>
          <w:rFonts w:hint="eastAsia" w:ascii="仿宋_GB2312" w:hAnsi="黑体" w:eastAsia="仿宋_GB2312"/>
          <w:sz w:val="32"/>
          <w:szCs w:val="32"/>
        </w:rPr>
        <w:t>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hAnsi="黑体" w:eastAsia="仿宋_GB2312"/>
          <w:sz w:val="32"/>
          <w:szCs w:val="32"/>
        </w:rPr>
        <w:t>编制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和项目绩效目标表填报等既相互信息编制</w:t>
      </w:r>
      <w:r>
        <w:rPr>
          <w:rFonts w:hint="eastAsia" w:ascii="仿宋_GB2312" w:hAnsi="黑体" w:eastAsia="仿宋_GB2312"/>
          <w:sz w:val="32"/>
          <w:szCs w:val="32"/>
        </w:rPr>
        <w:t>工作，编制中要认真做好各项准备工作，加强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黑体" w:eastAsia="仿宋_GB2312"/>
          <w:sz w:val="32"/>
          <w:szCs w:val="32"/>
        </w:rPr>
        <w:t>各相关部门的沟通协调，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保障相关内容的准确度，</w:t>
      </w:r>
      <w:r>
        <w:rPr>
          <w:rFonts w:hint="eastAsia" w:ascii="仿宋_GB2312" w:hAnsi="黑体" w:eastAsia="仿宋_GB2312"/>
          <w:sz w:val="32"/>
          <w:szCs w:val="32"/>
        </w:rPr>
        <w:t>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基础信息的精准度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contextualSpacing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27" w:name="_Toc1939659487"/>
      <w:bookmarkStart w:id="28" w:name="_Toc6046"/>
      <w:bookmarkStart w:id="29" w:name="_Toc14289"/>
      <w:bookmarkStart w:id="30" w:name="_Toc31061"/>
      <w:bookmarkStart w:id="31" w:name="_Toc3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（四）</w:t>
      </w:r>
      <w:bookmarkEnd w:id="27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加强绩效管理知识学习，提升绩效管理能力</w:t>
      </w:r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在已有</w:t>
      </w:r>
      <w:r>
        <w:rPr>
          <w:rFonts w:hint="eastAsia" w:ascii="仿宋_GB2312" w:hAnsi="黑体" w:eastAsia="仿宋_GB2312"/>
          <w:sz w:val="32"/>
          <w:szCs w:val="32"/>
        </w:rPr>
        <w:t>全绩效评价机制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的基础上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进一步加强学习，将</w:t>
      </w:r>
      <w:r>
        <w:rPr>
          <w:rFonts w:hint="eastAsia" w:ascii="仿宋_GB2312" w:hAnsi="黑体" w:eastAsia="仿宋_GB2312"/>
          <w:sz w:val="32"/>
          <w:szCs w:val="32"/>
        </w:rPr>
        <w:t>绩效理念贯穿预算绩效管理全过程，按照预算绩效全流程管理要求，做好预算编制环节明确绩效目标、做好事前绩效评估；预算执行环节加强事中绩效监控实施追踪反馈；事后环节加强问责问效，选取部门的重大项目开展重点评价，重视评价结果应用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黑体" w:eastAsia="仿宋_GB2312"/>
          <w:sz w:val="32"/>
          <w:szCs w:val="32"/>
        </w:rPr>
        <w:t>提升财政资金使用效果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E9D5F"/>
    <w:multiLevelType w:val="singleLevel"/>
    <w:tmpl w:val="A82E9D5F"/>
    <w:lvl w:ilvl="0" w:tentative="0">
      <w:start w:val="3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abstractNum w:abstractNumId="1">
    <w:nsid w:val="BC06EBF4"/>
    <w:multiLevelType w:val="singleLevel"/>
    <w:tmpl w:val="BC06E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E1C613D"/>
    <w:multiLevelType w:val="singleLevel"/>
    <w:tmpl w:val="DE1C61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TNiNDk5Njc3ZmE3NmQ1OGMzOTdkY2FmZWViZWEifQ=="/>
  </w:docVars>
  <w:rsids>
    <w:rsidRoot w:val="00000000"/>
    <w:rsid w:val="03D6464B"/>
    <w:rsid w:val="07FD3934"/>
    <w:rsid w:val="08044DF2"/>
    <w:rsid w:val="10C54167"/>
    <w:rsid w:val="1A1B310D"/>
    <w:rsid w:val="1FAB2A10"/>
    <w:rsid w:val="21B225A8"/>
    <w:rsid w:val="273F6164"/>
    <w:rsid w:val="274A5D75"/>
    <w:rsid w:val="27D952DC"/>
    <w:rsid w:val="34DD4368"/>
    <w:rsid w:val="3F9366BA"/>
    <w:rsid w:val="443650FF"/>
    <w:rsid w:val="47CC3B65"/>
    <w:rsid w:val="4E5C487A"/>
    <w:rsid w:val="52FF161B"/>
    <w:rsid w:val="5D266790"/>
    <w:rsid w:val="5ED57CA3"/>
    <w:rsid w:val="5F531728"/>
    <w:rsid w:val="60D62CAD"/>
    <w:rsid w:val="69FD3262"/>
    <w:rsid w:val="6B9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0">
    <w:name w:val="文档正文"/>
    <w:basedOn w:val="1"/>
    <w:qFormat/>
    <w:uiPriority w:val="0"/>
    <w:pPr>
      <w:adjustRightInd w:val="0"/>
      <w:spacing w:line="500" w:lineRule="exact"/>
      <w:ind w:firstLine="880" w:firstLineChars="200"/>
      <w:textAlignment w:val="baseline"/>
    </w:pPr>
    <w:rPr>
      <w:rFonts w:ascii="仿宋_GB2312" w:hAnsi="仿宋_GB2312" w:eastAsia="仿宋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2023-12-23T20:10:41Z</dcterms:created>
  <dc:creator>86157</dc:creator>
  <cp:lastModifiedBy>only</cp:lastModifiedBy>
  <dcterms:modified xsi:type="dcterms:W3CDTF">2023-12-23T20:26:09Z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FD248126CAFF464DA4F0D0CC29B458F9_12</vt:lpwstr>
  </property>
</Properties>
</file>